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jc w:val="center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185"/>
        <w:gridCol w:w="1155"/>
        <w:gridCol w:w="180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招聘学科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招聘人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数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3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电子商务、软件工程（电子商务方向）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园    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园林、风景园林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土木工程、软件工程（土木工程方向）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工程造价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工程造价、软件工程（工程造价方向）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安全工程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安全工程、信息工程、科技防卫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网络工程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网络工程、软件工程（软件开发方向）、软件开发（嵌入式方向）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机    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bdr w:val="none" w:color="auto" w:sz="0" w:space="0"/>
              </w:rPr>
              <w:t>机械设计制造及自动化、模具设计与制造、软件工程（机械设计制造及自动化方向）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健 美 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bdr w:val="none" w:color="auto" w:sz="0" w:space="0"/>
              </w:rPr>
              <w:t>健美操专业、体育舞蹈专业、体育专业（健美操方向）、体育表演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仙居县职业中等专业学校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学前教育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08A6"/>
    <w:rsid w:val="17DF0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666666"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2018-11-22T12:06:00Z</dcterms:created>
  <dc:creator>天空</dc:creator>
  <cp:lastModifiedBy>天空</cp:lastModifiedBy>
  <dcterms:modified xsi:type="dcterms:W3CDTF">2018-11-22T12:12:39Z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