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 xml:space="preserve">一流大学建设高校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国防科技大学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B类：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新疆大学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一流学科建设高校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中国美术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0CCE"/>
    <w:rsid w:val="1E9F0CCE"/>
    <w:rsid w:val="53C76A1F"/>
    <w:rsid w:val="544F6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2017-12-10T08:09:00Z</dcterms:created>
  <dc:creator>lina</dc:creator>
  <cp:lastModifiedBy>LENOVO</cp:lastModifiedBy>
  <dcterms:modified xsi:type="dcterms:W3CDTF">2017-12-19T10:45:37Z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