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3" w:rsidRPr="00250B1F" w:rsidRDefault="00D55A13">
      <w:pPr>
        <w:rPr>
          <w:rFonts w:asciiTheme="minorEastAsia" w:eastAsiaTheme="minorEastAsia" w:hAnsiTheme="minorEastAsia" w:cs="仿宋_GB2312"/>
          <w:sz w:val="24"/>
        </w:rPr>
      </w:pPr>
      <w:r w:rsidRPr="00250B1F">
        <w:rPr>
          <w:rFonts w:asciiTheme="minorEastAsia" w:eastAsiaTheme="minorEastAsia" w:hAnsiTheme="minorEastAsia" w:cs="仿宋_GB2312" w:hint="eastAsia"/>
          <w:sz w:val="24"/>
        </w:rPr>
        <w:t>附件</w:t>
      </w:r>
      <w:r w:rsidRPr="00250B1F">
        <w:rPr>
          <w:rFonts w:asciiTheme="minorEastAsia" w:eastAsiaTheme="minorEastAsia" w:hAnsiTheme="minorEastAsia" w:cs="仿宋_GB2312"/>
          <w:sz w:val="24"/>
        </w:rPr>
        <w:t>4</w:t>
      </w:r>
    </w:p>
    <w:p w:rsidR="00D55A13" w:rsidRPr="00250B1F" w:rsidRDefault="00D55A13">
      <w:pPr>
        <w:rPr>
          <w:rFonts w:asciiTheme="minorEastAsia" w:eastAsiaTheme="minorEastAsia" w:hAnsiTheme="minorEastAsia" w:cs="仿宋_GB2312"/>
          <w:sz w:val="24"/>
        </w:rPr>
      </w:pPr>
    </w:p>
    <w:p w:rsidR="00D55A13" w:rsidRPr="00250B1F" w:rsidRDefault="00D55A13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 w:cs="方正小标宋简体"/>
          <w:sz w:val="24"/>
        </w:rPr>
      </w:pPr>
      <w:r w:rsidRPr="00250B1F">
        <w:rPr>
          <w:rFonts w:asciiTheme="minorEastAsia" w:eastAsiaTheme="minorEastAsia" w:hAnsiTheme="minorEastAsia" w:cs="方正小标宋简体" w:hint="eastAsia"/>
          <w:sz w:val="24"/>
        </w:rPr>
        <w:t>内江市西南循环经济产业园区简介</w:t>
      </w:r>
    </w:p>
    <w:p w:rsidR="00D55A13" w:rsidRPr="00250B1F" w:rsidRDefault="00D55A13" w:rsidP="00250B1F">
      <w:pPr>
        <w:adjustRightInd w:val="0"/>
        <w:snapToGrid w:val="0"/>
        <w:spacing w:line="600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</w:p>
    <w:p w:rsidR="00D55A13" w:rsidRPr="00250B1F" w:rsidRDefault="00D55A13" w:rsidP="00250B1F">
      <w:pPr>
        <w:spacing w:line="576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250B1F">
        <w:rPr>
          <w:rFonts w:asciiTheme="minorEastAsia" w:eastAsiaTheme="minorEastAsia" w:hAnsiTheme="minorEastAsia" w:cs="仿宋_GB2312" w:hint="eastAsia"/>
          <w:sz w:val="24"/>
        </w:rPr>
        <w:t>内江市西南循环经济产业园区成立于</w:t>
      </w:r>
      <w:r w:rsidRPr="00250B1F">
        <w:rPr>
          <w:rFonts w:asciiTheme="minorEastAsia" w:eastAsiaTheme="minorEastAsia" w:hAnsiTheme="minorEastAsia" w:cs="仿宋_GB2312"/>
          <w:sz w:val="24"/>
        </w:rPr>
        <w:t>2010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年，</w:t>
      </w:r>
      <w:r w:rsidRPr="00250B1F">
        <w:rPr>
          <w:rFonts w:asciiTheme="minorEastAsia" w:eastAsiaTheme="minorEastAsia" w:hAnsiTheme="minorEastAsia" w:hint="eastAsia"/>
          <w:kern w:val="10"/>
          <w:sz w:val="24"/>
        </w:rPr>
        <w:t>位于内江东南，</w:t>
      </w:r>
      <w:r w:rsidRPr="00250B1F">
        <w:rPr>
          <w:rFonts w:asciiTheme="minorEastAsia" w:eastAsiaTheme="minorEastAsia" w:hAnsiTheme="minorEastAsia" w:hint="eastAsia"/>
          <w:sz w:val="24"/>
        </w:rPr>
        <w:t>距主城区约</w:t>
      </w:r>
      <w:r w:rsidRPr="00250B1F">
        <w:rPr>
          <w:rFonts w:asciiTheme="minorEastAsia" w:eastAsiaTheme="minorEastAsia" w:hAnsiTheme="minorEastAsia"/>
          <w:sz w:val="24"/>
        </w:rPr>
        <w:t>8</w:t>
      </w:r>
      <w:r w:rsidRPr="00250B1F">
        <w:rPr>
          <w:rFonts w:asciiTheme="minorEastAsia" w:eastAsiaTheme="minorEastAsia" w:hAnsiTheme="minorEastAsia" w:hint="eastAsia"/>
          <w:sz w:val="24"/>
        </w:rPr>
        <w:t>公里，</w:t>
      </w:r>
      <w:r w:rsidRPr="00250B1F">
        <w:rPr>
          <w:rFonts w:asciiTheme="minorEastAsia" w:eastAsiaTheme="minorEastAsia" w:hAnsiTheme="minorEastAsia" w:hint="eastAsia"/>
          <w:kern w:val="10"/>
          <w:sz w:val="24"/>
        </w:rPr>
        <w:t>涉及东兴区</w:t>
      </w:r>
      <w:r w:rsidRPr="00250B1F">
        <w:rPr>
          <w:rFonts w:asciiTheme="minorEastAsia" w:eastAsiaTheme="minorEastAsia" w:hAnsiTheme="minorEastAsia" w:hint="eastAsia"/>
          <w:sz w:val="24"/>
        </w:rPr>
        <w:t>椑木镇、椑南乡、小河口镇、中山乡</w:t>
      </w:r>
      <w:r w:rsidRPr="00250B1F">
        <w:rPr>
          <w:rFonts w:asciiTheme="minorEastAsia" w:eastAsiaTheme="minorEastAsia" w:hAnsiTheme="minorEastAsia"/>
          <w:sz w:val="24"/>
        </w:rPr>
        <w:t>4</w:t>
      </w:r>
      <w:r w:rsidRPr="00250B1F">
        <w:rPr>
          <w:rFonts w:asciiTheme="minorEastAsia" w:eastAsiaTheme="minorEastAsia" w:hAnsiTheme="minorEastAsia" w:hint="eastAsia"/>
          <w:sz w:val="24"/>
        </w:rPr>
        <w:t>个乡镇、</w:t>
      </w:r>
      <w:r w:rsidRPr="00250B1F">
        <w:rPr>
          <w:rFonts w:asciiTheme="minorEastAsia" w:eastAsiaTheme="minorEastAsia" w:hAnsiTheme="minorEastAsia"/>
          <w:sz w:val="24"/>
        </w:rPr>
        <w:t>6</w:t>
      </w:r>
      <w:r w:rsidRPr="00250B1F">
        <w:rPr>
          <w:rFonts w:asciiTheme="minorEastAsia" w:eastAsiaTheme="minorEastAsia" w:hAnsiTheme="minorEastAsia" w:hint="eastAsia"/>
          <w:sz w:val="24"/>
        </w:rPr>
        <w:t>个社区、</w:t>
      </w:r>
      <w:r w:rsidRPr="00250B1F">
        <w:rPr>
          <w:rFonts w:asciiTheme="minorEastAsia" w:eastAsiaTheme="minorEastAsia" w:hAnsiTheme="minorEastAsia"/>
          <w:sz w:val="24"/>
        </w:rPr>
        <w:t>17</w:t>
      </w:r>
      <w:r w:rsidRPr="00250B1F">
        <w:rPr>
          <w:rFonts w:asciiTheme="minorEastAsia" w:eastAsiaTheme="minorEastAsia" w:hAnsiTheme="minorEastAsia" w:hint="eastAsia"/>
          <w:sz w:val="24"/>
        </w:rPr>
        <w:t>个村，沿国道</w:t>
      </w:r>
      <w:r w:rsidRPr="00250B1F">
        <w:rPr>
          <w:rFonts w:asciiTheme="minorEastAsia" w:eastAsiaTheme="minorEastAsia" w:hAnsiTheme="minorEastAsia"/>
          <w:sz w:val="24"/>
        </w:rPr>
        <w:t>321</w:t>
      </w:r>
      <w:r w:rsidRPr="00250B1F">
        <w:rPr>
          <w:rFonts w:asciiTheme="minorEastAsia" w:eastAsiaTheme="minorEastAsia" w:hAnsiTheme="minorEastAsia" w:hint="eastAsia"/>
          <w:sz w:val="24"/>
        </w:rPr>
        <w:t>从小河口至椑南乡牛棚子一线纵向布局。园区核心区规划占地面积</w:t>
      </w:r>
      <w:r w:rsidRPr="00250B1F">
        <w:rPr>
          <w:rFonts w:asciiTheme="minorEastAsia" w:eastAsiaTheme="minorEastAsia" w:hAnsiTheme="minorEastAsia"/>
          <w:sz w:val="24"/>
        </w:rPr>
        <w:t>22.58</w:t>
      </w:r>
      <w:r w:rsidRPr="00250B1F">
        <w:rPr>
          <w:rFonts w:asciiTheme="minorEastAsia" w:eastAsiaTheme="minorEastAsia" w:hAnsiTheme="minorEastAsia" w:hint="eastAsia"/>
          <w:sz w:val="24"/>
        </w:rPr>
        <w:t>平方公里，其中南部工业区占地面积约</w:t>
      </w:r>
      <w:r w:rsidRPr="00250B1F">
        <w:rPr>
          <w:rFonts w:asciiTheme="minorEastAsia" w:eastAsiaTheme="minorEastAsia" w:hAnsiTheme="minorEastAsia" w:cs="仿宋_GB2312"/>
          <w:sz w:val="24"/>
        </w:rPr>
        <w:t>11.33</w:t>
      </w:r>
      <w:r w:rsidRPr="00250B1F">
        <w:rPr>
          <w:rFonts w:asciiTheme="minorEastAsia" w:eastAsiaTheme="minorEastAsia" w:hAnsiTheme="minorEastAsia" w:hint="eastAsia"/>
          <w:sz w:val="24"/>
        </w:rPr>
        <w:t>平方公里。园区管委会属事业单位，于</w:t>
      </w:r>
      <w:r w:rsidRPr="00250B1F">
        <w:rPr>
          <w:rFonts w:asciiTheme="minorEastAsia" w:eastAsiaTheme="minorEastAsia" w:hAnsiTheme="minorEastAsia"/>
          <w:sz w:val="24"/>
        </w:rPr>
        <w:t>2012</w:t>
      </w:r>
      <w:r w:rsidRPr="00250B1F">
        <w:rPr>
          <w:rFonts w:asciiTheme="minorEastAsia" w:eastAsiaTheme="minorEastAsia" w:hAnsiTheme="minorEastAsia" w:hint="eastAsia"/>
          <w:sz w:val="24"/>
        </w:rPr>
        <w:t>年</w:t>
      </w:r>
      <w:r w:rsidRPr="00250B1F">
        <w:rPr>
          <w:rFonts w:asciiTheme="minorEastAsia" w:eastAsiaTheme="minorEastAsia" w:hAnsiTheme="minorEastAsia"/>
          <w:sz w:val="24"/>
        </w:rPr>
        <w:t>8</w:t>
      </w:r>
      <w:r w:rsidRPr="00250B1F">
        <w:rPr>
          <w:rFonts w:asciiTheme="minorEastAsia" w:eastAsiaTheme="minorEastAsia" w:hAnsiTheme="minorEastAsia" w:hint="eastAsia"/>
          <w:sz w:val="24"/>
        </w:rPr>
        <w:t>月批复成立，为内江市东兴区人民政府的派出机构，核定主任</w:t>
      </w:r>
      <w:r w:rsidRPr="00250B1F">
        <w:rPr>
          <w:rFonts w:asciiTheme="minorEastAsia" w:eastAsiaTheme="minorEastAsia" w:hAnsiTheme="minorEastAsia"/>
          <w:sz w:val="24"/>
        </w:rPr>
        <w:t>1</w:t>
      </w:r>
      <w:r w:rsidRPr="00250B1F">
        <w:rPr>
          <w:rFonts w:asciiTheme="minorEastAsia" w:eastAsiaTheme="minorEastAsia" w:hAnsiTheme="minorEastAsia" w:hint="eastAsia"/>
          <w:sz w:val="24"/>
        </w:rPr>
        <w:t>名、副主任</w:t>
      </w:r>
      <w:r w:rsidRPr="00250B1F">
        <w:rPr>
          <w:rFonts w:asciiTheme="minorEastAsia" w:eastAsiaTheme="minorEastAsia" w:hAnsiTheme="minorEastAsia"/>
          <w:sz w:val="24"/>
        </w:rPr>
        <w:t>3</w:t>
      </w:r>
      <w:r w:rsidRPr="00250B1F">
        <w:rPr>
          <w:rFonts w:asciiTheme="minorEastAsia" w:eastAsiaTheme="minorEastAsia" w:hAnsiTheme="minorEastAsia" w:hint="eastAsia"/>
          <w:sz w:val="24"/>
        </w:rPr>
        <w:t>名、党工委书记</w:t>
      </w:r>
      <w:r w:rsidRPr="00250B1F">
        <w:rPr>
          <w:rFonts w:asciiTheme="minorEastAsia" w:eastAsiaTheme="minorEastAsia" w:hAnsiTheme="minorEastAsia"/>
          <w:sz w:val="24"/>
        </w:rPr>
        <w:t>1</w:t>
      </w:r>
      <w:r w:rsidRPr="00250B1F">
        <w:rPr>
          <w:rFonts w:asciiTheme="minorEastAsia" w:eastAsiaTheme="minorEastAsia" w:hAnsiTheme="minorEastAsia" w:hint="eastAsia"/>
          <w:sz w:val="24"/>
        </w:rPr>
        <w:t>名（兼任）、党工委常务副书记</w:t>
      </w:r>
      <w:r w:rsidRPr="00250B1F">
        <w:rPr>
          <w:rFonts w:asciiTheme="minorEastAsia" w:eastAsiaTheme="minorEastAsia" w:hAnsiTheme="minorEastAsia"/>
          <w:sz w:val="24"/>
        </w:rPr>
        <w:t>1</w:t>
      </w:r>
      <w:r w:rsidRPr="00250B1F">
        <w:rPr>
          <w:rFonts w:asciiTheme="minorEastAsia" w:eastAsiaTheme="minorEastAsia" w:hAnsiTheme="minorEastAsia" w:hint="eastAsia"/>
          <w:sz w:val="24"/>
        </w:rPr>
        <w:t>名（兼任）、党工委专职副书记兼纪工委书记</w:t>
      </w:r>
      <w:r w:rsidRPr="00250B1F">
        <w:rPr>
          <w:rFonts w:asciiTheme="minorEastAsia" w:eastAsiaTheme="minorEastAsia" w:hAnsiTheme="minorEastAsia"/>
          <w:sz w:val="24"/>
        </w:rPr>
        <w:t>1</w:t>
      </w:r>
      <w:r w:rsidRPr="00250B1F">
        <w:rPr>
          <w:rFonts w:asciiTheme="minorEastAsia" w:eastAsiaTheme="minorEastAsia" w:hAnsiTheme="minorEastAsia" w:hint="eastAsia"/>
          <w:sz w:val="24"/>
        </w:rPr>
        <w:t>名，设党群工作部、综合科、规划建设科、经济发展科、安全生产和环境保护办公室。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主要职责为贯彻执行国家有关法律、法规；负责编制园区发展控制性详细规划及产业发展、基础设施、人才利用等专项规划，按照程序报批并组织实施；负责园区规划建设、基础设施配套等产业发展关键环节管理和服务；牵头组织实施园区项目申报，负责园区招商引资与产业扶持政策编制；负责园区安全生产、环保等日常管理工作；负责园区党的建设、党风廉政建设、精神文明建设工作；承办区委、区政府交办的其他工作。</w:t>
      </w:r>
    </w:p>
    <w:p w:rsidR="00D55A13" w:rsidRPr="00250B1F" w:rsidRDefault="00D55A13" w:rsidP="00250B1F">
      <w:pPr>
        <w:spacing w:line="600" w:lineRule="exact"/>
        <w:ind w:firstLineChars="196" w:firstLine="470"/>
        <w:rPr>
          <w:rFonts w:asciiTheme="minorEastAsia" w:eastAsiaTheme="minorEastAsia" w:hAnsiTheme="minorEastAsia"/>
          <w:sz w:val="24"/>
        </w:rPr>
      </w:pPr>
      <w:r w:rsidRPr="00250B1F">
        <w:rPr>
          <w:rFonts w:asciiTheme="minorEastAsia" w:eastAsiaTheme="minorEastAsia" w:hAnsiTheme="minorEastAsia" w:hint="eastAsia"/>
          <w:sz w:val="24"/>
        </w:rPr>
        <w:t>园区以四川中再生公司建设的西南再生资源产业基地（中再生基地）为龙头，以椑南乡牛棚子一带多年来的废旧物资经营业为基础，大力发展</w:t>
      </w:r>
      <w:r w:rsidRPr="00250B1F">
        <w:rPr>
          <w:rFonts w:asciiTheme="minorEastAsia" w:eastAsiaTheme="minorEastAsia" w:hAnsiTheme="minorEastAsia" w:cs="宋体" w:hint="eastAsia"/>
          <w:sz w:val="24"/>
        </w:rPr>
        <w:t>以再生资源回收利用为核心的</w:t>
      </w:r>
      <w:r w:rsidRPr="00250B1F">
        <w:rPr>
          <w:rFonts w:asciiTheme="minorEastAsia" w:eastAsiaTheme="minorEastAsia" w:hAnsiTheme="minorEastAsia" w:hint="eastAsia"/>
          <w:sz w:val="24"/>
        </w:rPr>
        <w:t>循环经济产业，着力打造废旧物资回收、加工、利用、再制造产业集群</w:t>
      </w:r>
      <w:r w:rsidRPr="00250B1F">
        <w:rPr>
          <w:rFonts w:asciiTheme="minorEastAsia" w:eastAsiaTheme="minorEastAsia" w:hAnsiTheme="minorEastAsia" w:cs="宋体" w:hint="eastAsia"/>
          <w:sz w:val="24"/>
        </w:rPr>
        <w:t>，</w:t>
      </w:r>
      <w:r w:rsidRPr="00250B1F">
        <w:rPr>
          <w:rFonts w:asciiTheme="minorEastAsia" w:eastAsiaTheme="minorEastAsia" w:hAnsiTheme="minorEastAsia" w:hint="eastAsia"/>
          <w:sz w:val="24"/>
        </w:rPr>
        <w:t>园区先后获得全国循环经济先进单位，省级新型工业化产业示范基地，全省首批省级生态工业园区建设试点单位等多项荣誉，成为西南地区最大的再生资源回收加工综合利用产业基地。</w:t>
      </w:r>
    </w:p>
    <w:p w:rsidR="00D55A13" w:rsidRPr="00250B1F" w:rsidRDefault="00D55A13" w:rsidP="00250B1F">
      <w:pPr>
        <w:spacing w:line="600" w:lineRule="exact"/>
        <w:ind w:firstLineChars="196" w:firstLine="470"/>
        <w:rPr>
          <w:rFonts w:asciiTheme="minorEastAsia" w:eastAsiaTheme="minorEastAsia" w:hAnsiTheme="minorEastAsia"/>
          <w:sz w:val="24"/>
        </w:rPr>
      </w:pPr>
      <w:r w:rsidRPr="00250B1F">
        <w:rPr>
          <w:rFonts w:asciiTheme="minorEastAsia" w:eastAsiaTheme="minorEastAsia" w:hAnsiTheme="minorEastAsia" w:hint="eastAsia"/>
          <w:sz w:val="24"/>
        </w:rPr>
        <w:lastRenderedPageBreak/>
        <w:t>园区发展目标为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以交通干线为纽带，以产业链条衔接为主要方式，以循环产业和汽车零部件知名品牌为主要内容，构建特色产业集聚，形成“一园五片区”的产业构架。到</w:t>
      </w:r>
      <w:r w:rsidRPr="00250B1F">
        <w:rPr>
          <w:rFonts w:asciiTheme="minorEastAsia" w:eastAsiaTheme="minorEastAsia" w:hAnsiTheme="minorEastAsia" w:cs="Times New Roman"/>
          <w:sz w:val="24"/>
        </w:rPr>
        <w:t>2020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年，园区承载能力进一步增强，规模效益不断壮大。园区主导产业占园区的比重提高到</w:t>
      </w:r>
      <w:r w:rsidRPr="00250B1F">
        <w:rPr>
          <w:rFonts w:asciiTheme="minorEastAsia" w:eastAsiaTheme="minorEastAsia" w:hAnsiTheme="minorEastAsia" w:cs="Times New Roman"/>
          <w:sz w:val="24"/>
        </w:rPr>
        <w:t>70%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以上；承载面积达到</w:t>
      </w:r>
      <w:r w:rsidRPr="00250B1F">
        <w:rPr>
          <w:rFonts w:asciiTheme="minorEastAsia" w:eastAsiaTheme="minorEastAsia" w:hAnsiTheme="minorEastAsia" w:cs="Times New Roman"/>
          <w:sz w:val="24"/>
        </w:rPr>
        <w:t>4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平方公里；销售收入达到</w:t>
      </w:r>
      <w:r w:rsidRPr="00250B1F">
        <w:rPr>
          <w:rFonts w:asciiTheme="minorEastAsia" w:eastAsiaTheme="minorEastAsia" w:hAnsiTheme="minorEastAsia" w:cs="Times New Roman"/>
          <w:sz w:val="24"/>
        </w:rPr>
        <w:t>200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亿元以上；入驻企业达到</w:t>
      </w:r>
      <w:r w:rsidRPr="00250B1F">
        <w:rPr>
          <w:rFonts w:asciiTheme="minorEastAsia" w:eastAsiaTheme="minorEastAsia" w:hAnsiTheme="minorEastAsia" w:cs="Times New Roman"/>
          <w:sz w:val="24"/>
        </w:rPr>
        <w:t>150</w:t>
      </w:r>
      <w:r w:rsidRPr="00250B1F">
        <w:rPr>
          <w:rFonts w:asciiTheme="minorEastAsia" w:eastAsiaTheme="minorEastAsia" w:hAnsiTheme="minorEastAsia" w:cs="仿宋_GB2312" w:hint="eastAsia"/>
          <w:sz w:val="24"/>
        </w:rPr>
        <w:t>户，其中，龙头企业突破</w:t>
      </w:r>
      <w:r w:rsidRPr="00250B1F">
        <w:rPr>
          <w:rFonts w:asciiTheme="minorEastAsia" w:eastAsiaTheme="minorEastAsia" w:hAnsiTheme="minorEastAsia" w:cs="Times New Roman"/>
          <w:sz w:val="24"/>
        </w:rPr>
        <w:t>10</w:t>
      </w:r>
      <w:r w:rsidRPr="00250B1F">
        <w:rPr>
          <w:rFonts w:asciiTheme="minorEastAsia" w:eastAsiaTheme="minorEastAsia" w:hAnsiTheme="minorEastAsia" w:cs="仿宋_GB2312" w:hint="eastAsia"/>
          <w:sz w:val="24"/>
        </w:rPr>
        <w:t>户、从业人员突破</w:t>
      </w:r>
      <w:r w:rsidRPr="00250B1F">
        <w:rPr>
          <w:rFonts w:asciiTheme="minorEastAsia" w:eastAsiaTheme="minorEastAsia" w:hAnsiTheme="minorEastAsia" w:cs="Times New Roman"/>
          <w:sz w:val="24"/>
        </w:rPr>
        <w:t>2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万人，力争建成省级开发区。力争到</w:t>
      </w:r>
      <w:r w:rsidRPr="00250B1F">
        <w:rPr>
          <w:rFonts w:asciiTheme="minorEastAsia" w:eastAsiaTheme="minorEastAsia" w:hAnsiTheme="minorEastAsia" w:cs="Times New Roman"/>
          <w:sz w:val="24"/>
        </w:rPr>
        <w:t>2025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年，园区承载面积达到</w:t>
      </w:r>
      <w:r w:rsidRPr="00250B1F">
        <w:rPr>
          <w:rFonts w:asciiTheme="minorEastAsia" w:eastAsiaTheme="minorEastAsia" w:hAnsiTheme="minorEastAsia" w:cs="Times New Roman"/>
          <w:sz w:val="24"/>
        </w:rPr>
        <w:t>7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平方公里；销售收入达到</w:t>
      </w:r>
      <w:r w:rsidRPr="00250B1F">
        <w:rPr>
          <w:rFonts w:asciiTheme="minorEastAsia" w:eastAsiaTheme="minorEastAsia" w:hAnsiTheme="minorEastAsia" w:cs="Times New Roman"/>
          <w:sz w:val="24"/>
        </w:rPr>
        <w:t>500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亿元以上，争创国家级开发区。</w:t>
      </w:r>
    </w:p>
    <w:p w:rsidR="00D55A13" w:rsidRPr="00250B1F" w:rsidRDefault="00D55A13">
      <w:pPr>
        <w:spacing w:line="600" w:lineRule="exact"/>
        <w:ind w:firstLine="640"/>
        <w:jc w:val="left"/>
        <w:rPr>
          <w:rFonts w:asciiTheme="minorEastAsia" w:eastAsiaTheme="minorEastAsia" w:hAnsiTheme="minorEastAsia"/>
          <w:sz w:val="24"/>
        </w:rPr>
      </w:pPr>
    </w:p>
    <w:p w:rsidR="00D55A13" w:rsidRPr="00250B1F" w:rsidRDefault="00D55A13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</w:p>
    <w:sectPr w:rsidR="00D55A13" w:rsidRPr="00250B1F" w:rsidSect="002A1F1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1DC" w:rsidRDefault="003671DC" w:rsidP="002A1F1C">
      <w:r>
        <w:separator/>
      </w:r>
    </w:p>
  </w:endnote>
  <w:endnote w:type="continuationSeparator" w:id="1">
    <w:p w:rsidR="003671DC" w:rsidRDefault="003671DC" w:rsidP="002A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2682A">
    <w:pPr>
      <w:pStyle w:val="a3"/>
    </w:pPr>
    <w:r>
      <w:rPr>
        <w:noProof/>
      </w:rPr>
      <w:pict>
        <v:rect id="文本框 1" o:spid="_x0000_s2049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D55A13" w:rsidRDefault="00D2682A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D55A13"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B5711F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1DC" w:rsidRDefault="003671DC" w:rsidP="002A1F1C">
      <w:r>
        <w:separator/>
      </w:r>
    </w:p>
  </w:footnote>
  <w:footnote w:type="continuationSeparator" w:id="1">
    <w:p w:rsidR="003671DC" w:rsidRDefault="003671DC" w:rsidP="002A1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 w:rsidP="00880A6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D8"/>
    <w:rsid w:val="00032F36"/>
    <w:rsid w:val="0009617D"/>
    <w:rsid w:val="000B4027"/>
    <w:rsid w:val="000E6074"/>
    <w:rsid w:val="00107CA0"/>
    <w:rsid w:val="00126B5B"/>
    <w:rsid w:val="00170D90"/>
    <w:rsid w:val="00225424"/>
    <w:rsid w:val="00232114"/>
    <w:rsid w:val="0024190E"/>
    <w:rsid w:val="00242660"/>
    <w:rsid w:val="00250B1F"/>
    <w:rsid w:val="00264F8E"/>
    <w:rsid w:val="00267859"/>
    <w:rsid w:val="002A1F1C"/>
    <w:rsid w:val="002A7892"/>
    <w:rsid w:val="002F4AD8"/>
    <w:rsid w:val="002F62AE"/>
    <w:rsid w:val="003061BA"/>
    <w:rsid w:val="003560C9"/>
    <w:rsid w:val="003671DC"/>
    <w:rsid w:val="0037141C"/>
    <w:rsid w:val="004B15A3"/>
    <w:rsid w:val="004D7765"/>
    <w:rsid w:val="004F523E"/>
    <w:rsid w:val="004F5F93"/>
    <w:rsid w:val="004F6C92"/>
    <w:rsid w:val="0052649B"/>
    <w:rsid w:val="005557A5"/>
    <w:rsid w:val="005C4102"/>
    <w:rsid w:val="00635F63"/>
    <w:rsid w:val="00653483"/>
    <w:rsid w:val="00663A6D"/>
    <w:rsid w:val="00671617"/>
    <w:rsid w:val="007110FD"/>
    <w:rsid w:val="00730E9B"/>
    <w:rsid w:val="008127B8"/>
    <w:rsid w:val="00820898"/>
    <w:rsid w:val="00833957"/>
    <w:rsid w:val="00856DA2"/>
    <w:rsid w:val="00880A62"/>
    <w:rsid w:val="008D03F0"/>
    <w:rsid w:val="009E5E8B"/>
    <w:rsid w:val="00A21751"/>
    <w:rsid w:val="00A8181D"/>
    <w:rsid w:val="00A9027B"/>
    <w:rsid w:val="00AC38B5"/>
    <w:rsid w:val="00AC64ED"/>
    <w:rsid w:val="00AE07EC"/>
    <w:rsid w:val="00AF6338"/>
    <w:rsid w:val="00B17E8E"/>
    <w:rsid w:val="00B5711F"/>
    <w:rsid w:val="00BA33AB"/>
    <w:rsid w:val="00BC0EA4"/>
    <w:rsid w:val="00BC1469"/>
    <w:rsid w:val="00BD3E09"/>
    <w:rsid w:val="00C4543C"/>
    <w:rsid w:val="00C52321"/>
    <w:rsid w:val="00C64B81"/>
    <w:rsid w:val="00C86AA5"/>
    <w:rsid w:val="00CF5ABE"/>
    <w:rsid w:val="00D2682A"/>
    <w:rsid w:val="00D3654E"/>
    <w:rsid w:val="00D52E2B"/>
    <w:rsid w:val="00D558D8"/>
    <w:rsid w:val="00D55A13"/>
    <w:rsid w:val="00D667AF"/>
    <w:rsid w:val="00D83BE6"/>
    <w:rsid w:val="00D97BC7"/>
    <w:rsid w:val="00DE04B9"/>
    <w:rsid w:val="00DF4D6C"/>
    <w:rsid w:val="00E002BE"/>
    <w:rsid w:val="00E2181E"/>
    <w:rsid w:val="00E2270C"/>
    <w:rsid w:val="00E462B1"/>
    <w:rsid w:val="00E60802"/>
    <w:rsid w:val="00E926C0"/>
    <w:rsid w:val="00EB1271"/>
    <w:rsid w:val="00ED3C21"/>
    <w:rsid w:val="00ED4245"/>
    <w:rsid w:val="00EF4BD6"/>
    <w:rsid w:val="00F167DA"/>
    <w:rsid w:val="00FC0BA7"/>
    <w:rsid w:val="02C6120C"/>
    <w:rsid w:val="05124B2E"/>
    <w:rsid w:val="055A5C15"/>
    <w:rsid w:val="07130246"/>
    <w:rsid w:val="09477F18"/>
    <w:rsid w:val="0A8D0E14"/>
    <w:rsid w:val="0B540A4D"/>
    <w:rsid w:val="0B7467E0"/>
    <w:rsid w:val="0B954247"/>
    <w:rsid w:val="0BA535D0"/>
    <w:rsid w:val="0BFE31A6"/>
    <w:rsid w:val="0E597068"/>
    <w:rsid w:val="0E9C7544"/>
    <w:rsid w:val="0F2019A7"/>
    <w:rsid w:val="0FD40340"/>
    <w:rsid w:val="100953E6"/>
    <w:rsid w:val="11AC0BCB"/>
    <w:rsid w:val="134D45E9"/>
    <w:rsid w:val="15313EE4"/>
    <w:rsid w:val="1586709C"/>
    <w:rsid w:val="1A3D0423"/>
    <w:rsid w:val="1A4D40A8"/>
    <w:rsid w:val="1B15571A"/>
    <w:rsid w:val="1BF50A4A"/>
    <w:rsid w:val="1C557356"/>
    <w:rsid w:val="1D330DDB"/>
    <w:rsid w:val="1E2D7571"/>
    <w:rsid w:val="1EC31C9C"/>
    <w:rsid w:val="1FBE1D97"/>
    <w:rsid w:val="20421F65"/>
    <w:rsid w:val="217D6563"/>
    <w:rsid w:val="24E80C96"/>
    <w:rsid w:val="254576BB"/>
    <w:rsid w:val="26540D89"/>
    <w:rsid w:val="2658433E"/>
    <w:rsid w:val="269B22C2"/>
    <w:rsid w:val="27AF00F7"/>
    <w:rsid w:val="27EE439A"/>
    <w:rsid w:val="2B89546E"/>
    <w:rsid w:val="2BF16F5C"/>
    <w:rsid w:val="2D886DDE"/>
    <w:rsid w:val="2E7761A4"/>
    <w:rsid w:val="31244440"/>
    <w:rsid w:val="31D10625"/>
    <w:rsid w:val="34833D14"/>
    <w:rsid w:val="34FB4E08"/>
    <w:rsid w:val="36C11C31"/>
    <w:rsid w:val="3DD511CB"/>
    <w:rsid w:val="3ED51A86"/>
    <w:rsid w:val="3FCB70A9"/>
    <w:rsid w:val="40413449"/>
    <w:rsid w:val="42495733"/>
    <w:rsid w:val="444325A6"/>
    <w:rsid w:val="45424CA2"/>
    <w:rsid w:val="4616020C"/>
    <w:rsid w:val="46AA650B"/>
    <w:rsid w:val="49497DE9"/>
    <w:rsid w:val="4A091D33"/>
    <w:rsid w:val="4A4E37C9"/>
    <w:rsid w:val="4B7552C4"/>
    <w:rsid w:val="4B7E078F"/>
    <w:rsid w:val="4C2D4AA2"/>
    <w:rsid w:val="4D5A1D6E"/>
    <w:rsid w:val="50082635"/>
    <w:rsid w:val="50F50BD0"/>
    <w:rsid w:val="50FC25EC"/>
    <w:rsid w:val="51620142"/>
    <w:rsid w:val="521A7BEF"/>
    <w:rsid w:val="52363746"/>
    <w:rsid w:val="5358330B"/>
    <w:rsid w:val="53A72C68"/>
    <w:rsid w:val="543C6834"/>
    <w:rsid w:val="5450444D"/>
    <w:rsid w:val="553779A8"/>
    <w:rsid w:val="581068AB"/>
    <w:rsid w:val="58F35E14"/>
    <w:rsid w:val="592D4507"/>
    <w:rsid w:val="5A876295"/>
    <w:rsid w:val="5B0D2DD1"/>
    <w:rsid w:val="5BAD57D5"/>
    <w:rsid w:val="5ECF477A"/>
    <w:rsid w:val="5FED301A"/>
    <w:rsid w:val="62254E15"/>
    <w:rsid w:val="634C3CCB"/>
    <w:rsid w:val="657C05B1"/>
    <w:rsid w:val="68385F7E"/>
    <w:rsid w:val="68D535A9"/>
    <w:rsid w:val="6A4B14DF"/>
    <w:rsid w:val="6BEC40FD"/>
    <w:rsid w:val="6D2C2E95"/>
    <w:rsid w:val="6FC220C5"/>
    <w:rsid w:val="73090C3A"/>
    <w:rsid w:val="739866A1"/>
    <w:rsid w:val="754639BA"/>
    <w:rsid w:val="75912C31"/>
    <w:rsid w:val="75BD6882"/>
    <w:rsid w:val="76856541"/>
    <w:rsid w:val="772E42B8"/>
    <w:rsid w:val="78FB2112"/>
    <w:rsid w:val="7C7A7872"/>
    <w:rsid w:val="7DA079B0"/>
    <w:rsid w:val="7F6F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1F1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2A1F1C"/>
    <w:pPr>
      <w:spacing w:beforeAutospacing="1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2A1F1C"/>
    <w:rPr>
      <w:rFonts w:ascii="Calibri" w:hAnsi="Calibri" w:cs="黑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2A1F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rsid w:val="002A1F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5">
    <w:name w:val="Normal (Web)"/>
    <w:basedOn w:val="a"/>
    <w:uiPriority w:val="99"/>
    <w:rsid w:val="002A1F1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2A1F1C"/>
    <w:rPr>
      <w:rFonts w:cs="Times New Roman"/>
      <w:b/>
    </w:rPr>
  </w:style>
  <w:style w:type="character" w:styleId="a7">
    <w:name w:val="page number"/>
    <w:basedOn w:val="a0"/>
    <w:uiPriority w:val="99"/>
    <w:rsid w:val="002A1F1C"/>
    <w:rPr>
      <w:rFonts w:cs="Times New Roman"/>
    </w:rPr>
  </w:style>
  <w:style w:type="character" w:styleId="a8">
    <w:name w:val="FollowedHyperlink"/>
    <w:basedOn w:val="a0"/>
    <w:uiPriority w:val="99"/>
    <w:rsid w:val="002A1F1C"/>
    <w:rPr>
      <w:rFonts w:cs="Times New Roman"/>
      <w:color w:val="2B2B2B"/>
      <w:u w:val="none"/>
    </w:rPr>
  </w:style>
  <w:style w:type="character" w:styleId="a9">
    <w:name w:val="Emphasis"/>
    <w:basedOn w:val="a0"/>
    <w:uiPriority w:val="99"/>
    <w:qFormat/>
    <w:rsid w:val="002A1F1C"/>
    <w:rPr>
      <w:rFonts w:cs="Times New Roman"/>
    </w:rPr>
  </w:style>
  <w:style w:type="character" w:styleId="HTML">
    <w:name w:val="HTML Definition"/>
    <w:basedOn w:val="a0"/>
    <w:uiPriority w:val="99"/>
    <w:rsid w:val="002A1F1C"/>
    <w:rPr>
      <w:rFonts w:cs="Times New Roman"/>
    </w:rPr>
  </w:style>
  <w:style w:type="character" w:styleId="HTML0">
    <w:name w:val="HTML Acronym"/>
    <w:basedOn w:val="a0"/>
    <w:uiPriority w:val="99"/>
    <w:rsid w:val="002A1F1C"/>
    <w:rPr>
      <w:rFonts w:cs="Times New Roman"/>
    </w:rPr>
  </w:style>
  <w:style w:type="character" w:styleId="HTML1">
    <w:name w:val="HTML Variable"/>
    <w:basedOn w:val="a0"/>
    <w:uiPriority w:val="99"/>
    <w:rsid w:val="002A1F1C"/>
    <w:rPr>
      <w:rFonts w:cs="Times New Roman"/>
    </w:rPr>
  </w:style>
  <w:style w:type="character" w:styleId="aa">
    <w:name w:val="Hyperlink"/>
    <w:basedOn w:val="a0"/>
    <w:uiPriority w:val="99"/>
    <w:rsid w:val="002A1F1C"/>
    <w:rPr>
      <w:rFonts w:cs="Times New Roman"/>
      <w:color w:val="2B2B2B"/>
      <w:u w:val="none"/>
    </w:rPr>
  </w:style>
  <w:style w:type="character" w:styleId="HTML2">
    <w:name w:val="HTML Code"/>
    <w:basedOn w:val="a0"/>
    <w:uiPriority w:val="99"/>
    <w:rsid w:val="002A1F1C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rsid w:val="002A1F1C"/>
    <w:rPr>
      <w:rFonts w:cs="Times New Roman"/>
    </w:rPr>
  </w:style>
  <w:style w:type="character" w:customStyle="1" w:styleId="more">
    <w:name w:val="more"/>
    <w:basedOn w:val="a0"/>
    <w:uiPriority w:val="99"/>
    <w:rsid w:val="002A1F1C"/>
    <w:rPr>
      <w:rFonts w:cs="Times New Roman"/>
    </w:rPr>
  </w:style>
  <w:style w:type="character" w:customStyle="1" w:styleId="more1">
    <w:name w:val="more1"/>
    <w:basedOn w:val="a0"/>
    <w:uiPriority w:val="99"/>
    <w:rsid w:val="002A1F1C"/>
    <w:rPr>
      <w:rFonts w:cs="Times New Roman"/>
    </w:rPr>
  </w:style>
  <w:style w:type="character" w:customStyle="1" w:styleId="red">
    <w:name w:val="red"/>
    <w:basedOn w:val="a0"/>
    <w:uiPriority w:val="99"/>
    <w:rsid w:val="002A1F1C"/>
    <w:rPr>
      <w:rFonts w:cs="Times New Roman"/>
      <w:b/>
      <w:color w:val="C81F1A"/>
    </w:rPr>
  </w:style>
  <w:style w:type="character" w:customStyle="1" w:styleId="red1">
    <w:name w:val="red1"/>
    <w:basedOn w:val="a0"/>
    <w:uiPriority w:val="99"/>
    <w:rsid w:val="002A1F1C"/>
    <w:rPr>
      <w:rFonts w:cs="Times New Roman"/>
      <w:b/>
      <w:color w:val="C81F1A"/>
    </w:rPr>
  </w:style>
  <w:style w:type="character" w:customStyle="1" w:styleId="red2">
    <w:name w:val="red2"/>
    <w:basedOn w:val="a0"/>
    <w:uiPriority w:val="99"/>
    <w:rsid w:val="002A1F1C"/>
    <w:rPr>
      <w:rFonts w:cs="Times New Roman"/>
      <w:color w:val="FF0000"/>
    </w:rPr>
  </w:style>
  <w:style w:type="character" w:customStyle="1" w:styleId="red3">
    <w:name w:val="red3"/>
    <w:basedOn w:val="a0"/>
    <w:uiPriority w:val="99"/>
    <w:rsid w:val="002A1F1C"/>
    <w:rPr>
      <w:rFonts w:cs="Times New Roman"/>
      <w:color w:val="FF0000"/>
    </w:rPr>
  </w:style>
  <w:style w:type="character" w:customStyle="1" w:styleId="red4">
    <w:name w:val="red4"/>
    <w:basedOn w:val="a0"/>
    <w:uiPriority w:val="99"/>
    <w:rsid w:val="002A1F1C"/>
    <w:rPr>
      <w:rFonts w:cs="Times New Roman"/>
      <w:color w:val="FF0000"/>
    </w:rPr>
  </w:style>
  <w:style w:type="character" w:customStyle="1" w:styleId="red5">
    <w:name w:val="red5"/>
    <w:basedOn w:val="a0"/>
    <w:uiPriority w:val="99"/>
    <w:rsid w:val="002A1F1C"/>
    <w:rPr>
      <w:rFonts w:cs="Times New Roman"/>
      <w:color w:val="FF0000"/>
    </w:rPr>
  </w:style>
  <w:style w:type="character" w:customStyle="1" w:styleId="right">
    <w:name w:val="right"/>
    <w:basedOn w:val="a0"/>
    <w:uiPriority w:val="99"/>
    <w:rsid w:val="002A1F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中共内江市东兴区委</dc:title>
  <dc:subject/>
  <dc:creator>Administrator</dc:creator>
  <cp:keywords/>
  <dc:description/>
  <cp:lastModifiedBy>scott</cp:lastModifiedBy>
  <cp:revision>31</cp:revision>
  <cp:lastPrinted>2018-03-05T06:56:00Z</cp:lastPrinted>
  <dcterms:created xsi:type="dcterms:W3CDTF">2014-10-29T12:08:00Z</dcterms:created>
  <dcterms:modified xsi:type="dcterms:W3CDTF">2018-03-09T03:43:00Z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