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1" w:lineRule="atLeast"/>
        <w:ind w:left="0" w:right="0" w:firstLine="538"/>
        <w:textAlignment w:val="baseline"/>
        <w:rPr>
          <w:rFonts w:ascii="微软雅黑" w:hAnsi="微软雅黑" w:eastAsia="微软雅黑" w:cs="微软雅黑"/>
          <w:i w:val="0"/>
          <w:caps w:val="0"/>
          <w:color w:val="000000"/>
          <w:spacing w:val="0"/>
          <w:sz w:val="17"/>
          <w:szCs w:val="17"/>
        </w:rPr>
      </w:pPr>
      <w:r>
        <w:rPr>
          <w:rFonts w:ascii="楷体" w:hAnsi="楷体" w:eastAsia="楷体" w:cs="楷体"/>
          <w:i w:val="0"/>
          <w:caps w:val="0"/>
          <w:color w:val="000000"/>
          <w:spacing w:val="0"/>
          <w:sz w:val="26"/>
          <w:szCs w:val="26"/>
          <w:bdr w:val="none" w:color="auto" w:sz="0" w:space="0"/>
          <w:shd w:val="clear" w:fill="FFFFFF"/>
          <w:vertAlign w:val="baseline"/>
        </w:rPr>
        <w:t>人才引进费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1" w:lineRule="atLeast"/>
        <w:ind w:left="0" w:right="0" w:firstLine="538"/>
        <w:textAlignment w:val="baseline"/>
        <w:rPr>
          <w:rFonts w:hint="eastAsia" w:ascii="微软雅黑" w:hAnsi="微软雅黑" w:eastAsia="微软雅黑" w:cs="微软雅黑"/>
          <w:i w:val="0"/>
          <w:caps w:val="0"/>
          <w:color w:val="000000"/>
          <w:spacing w:val="0"/>
          <w:sz w:val="17"/>
          <w:szCs w:val="17"/>
        </w:rPr>
      </w:pPr>
      <w:r>
        <w:rPr>
          <w:rFonts w:ascii="仿宋" w:hAnsi="仿宋" w:eastAsia="仿宋" w:cs="仿宋"/>
          <w:i w:val="0"/>
          <w:caps w:val="0"/>
          <w:color w:val="000000"/>
          <w:spacing w:val="0"/>
          <w:sz w:val="26"/>
          <w:szCs w:val="26"/>
          <w:bdr w:val="none" w:color="auto" w:sz="0" w:space="0"/>
          <w:shd w:val="clear" w:fill="FFFFFF"/>
          <w:vertAlign w:val="baseline"/>
        </w:rPr>
        <w:t>引进博士科根据自身情况可与学校签订</w:t>
      </w:r>
      <w:r>
        <w:rPr>
          <w:rFonts w:hint="eastAsia" w:ascii="仿宋" w:hAnsi="仿宋" w:eastAsia="仿宋" w:cs="仿宋"/>
          <w:i w:val="0"/>
          <w:caps w:val="0"/>
          <w:color w:val="000000"/>
          <w:spacing w:val="0"/>
          <w:sz w:val="26"/>
          <w:szCs w:val="26"/>
          <w:bdr w:val="none" w:color="auto" w:sz="0" w:space="0"/>
          <w:shd w:val="clear" w:fill="FFFFFF"/>
          <w:vertAlign w:val="baseline"/>
        </w:rPr>
        <w:t>3年、5年、8年服务期，学校根据服务年限的不同提供人才引进费30—80万（含遵义市引进具有博士研究生学历学位人才政策中给予的一次性安家费25万元），分批次发放。</w:t>
      </w:r>
    </w:p>
    <w:tbl>
      <w:tblPr>
        <w:tblW w:w="7100" w:type="dxa"/>
        <w:tblInd w:w="0" w:type="dxa"/>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390"/>
        <w:gridCol w:w="1190"/>
        <w:gridCol w:w="1302"/>
        <w:gridCol w:w="1615"/>
        <w:gridCol w:w="1603"/>
      </w:tblGrid>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390" w:hRule="atLeast"/>
        </w:trPr>
        <w:tc>
          <w:tcPr>
            <w:tcW w:w="1390"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    人才引      进费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类别</w:t>
            </w:r>
          </w:p>
        </w:tc>
        <w:tc>
          <w:tcPr>
            <w:tcW w:w="1190"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当年首付</w:t>
            </w:r>
          </w:p>
        </w:tc>
        <w:tc>
          <w:tcPr>
            <w:tcW w:w="1302"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三年后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考核发放</w:t>
            </w:r>
          </w:p>
        </w:tc>
        <w:tc>
          <w:tcPr>
            <w:tcW w:w="1615"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五年后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考核发放</w:t>
            </w:r>
          </w:p>
        </w:tc>
        <w:tc>
          <w:tcPr>
            <w:tcW w:w="1603"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最高预期</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76" w:hRule="atLeast"/>
        </w:trPr>
        <w:tc>
          <w:tcPr>
            <w:tcW w:w="1390"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8年一类</w:t>
            </w:r>
          </w:p>
        </w:tc>
        <w:tc>
          <w:tcPr>
            <w:tcW w:w="1190"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50万元</w:t>
            </w:r>
          </w:p>
        </w:tc>
        <w:tc>
          <w:tcPr>
            <w:tcW w:w="1302"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10-15万元</w:t>
            </w:r>
          </w:p>
        </w:tc>
        <w:tc>
          <w:tcPr>
            <w:tcW w:w="1615"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10-15万元</w:t>
            </w:r>
          </w:p>
        </w:tc>
        <w:tc>
          <w:tcPr>
            <w:tcW w:w="1603"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80万元</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76" w:hRule="atLeast"/>
        </w:trPr>
        <w:tc>
          <w:tcPr>
            <w:tcW w:w="1390"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8年二类</w:t>
            </w:r>
          </w:p>
        </w:tc>
        <w:tc>
          <w:tcPr>
            <w:tcW w:w="1190"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40万元</w:t>
            </w:r>
          </w:p>
        </w:tc>
        <w:tc>
          <w:tcPr>
            <w:tcW w:w="1302"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10-15万元</w:t>
            </w:r>
          </w:p>
        </w:tc>
        <w:tc>
          <w:tcPr>
            <w:tcW w:w="1615"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10-15万元</w:t>
            </w:r>
          </w:p>
        </w:tc>
        <w:tc>
          <w:tcPr>
            <w:tcW w:w="1603"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70万元</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76" w:hRule="atLeast"/>
        </w:trPr>
        <w:tc>
          <w:tcPr>
            <w:tcW w:w="1390"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8年三类</w:t>
            </w:r>
          </w:p>
        </w:tc>
        <w:tc>
          <w:tcPr>
            <w:tcW w:w="1190"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30万元</w:t>
            </w:r>
          </w:p>
        </w:tc>
        <w:tc>
          <w:tcPr>
            <w:tcW w:w="1302"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10-15万元</w:t>
            </w:r>
          </w:p>
        </w:tc>
        <w:tc>
          <w:tcPr>
            <w:tcW w:w="1615"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10-15万元</w:t>
            </w:r>
          </w:p>
        </w:tc>
        <w:tc>
          <w:tcPr>
            <w:tcW w:w="1603"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60万元</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76" w:hRule="atLeast"/>
        </w:trPr>
        <w:tc>
          <w:tcPr>
            <w:tcW w:w="1390"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5年</w:t>
            </w:r>
          </w:p>
        </w:tc>
        <w:tc>
          <w:tcPr>
            <w:tcW w:w="1190"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30-50万元</w:t>
            </w:r>
          </w:p>
        </w:tc>
        <w:tc>
          <w:tcPr>
            <w:tcW w:w="1302"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10-15万元</w:t>
            </w:r>
          </w:p>
        </w:tc>
        <w:tc>
          <w:tcPr>
            <w:tcW w:w="1615"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无</w:t>
            </w:r>
          </w:p>
        </w:tc>
        <w:tc>
          <w:tcPr>
            <w:tcW w:w="1603"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无</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76" w:hRule="atLeast"/>
        </w:trPr>
        <w:tc>
          <w:tcPr>
            <w:tcW w:w="1390"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3年</w:t>
            </w:r>
          </w:p>
        </w:tc>
        <w:tc>
          <w:tcPr>
            <w:tcW w:w="1190"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30万元</w:t>
            </w:r>
          </w:p>
        </w:tc>
        <w:tc>
          <w:tcPr>
            <w:tcW w:w="1302"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无</w:t>
            </w:r>
          </w:p>
        </w:tc>
        <w:tc>
          <w:tcPr>
            <w:tcW w:w="1615"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无</w:t>
            </w:r>
          </w:p>
        </w:tc>
        <w:tc>
          <w:tcPr>
            <w:tcW w:w="1603"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1" w:lineRule="atLeast"/>
              <w:ind w:left="0" w:right="0" w:firstLine="420"/>
              <w:jc w:val="center"/>
              <w:textAlignment w:val="baseline"/>
              <w:rPr>
                <w:sz w:val="17"/>
                <w:szCs w:val="17"/>
              </w:rPr>
            </w:pPr>
            <w:r>
              <w:rPr>
                <w:rFonts w:hint="eastAsia" w:ascii="仿宋" w:hAnsi="仿宋" w:eastAsia="仿宋" w:cs="仿宋"/>
                <w:i w:val="0"/>
                <w:caps w:val="0"/>
                <w:color w:val="000000"/>
                <w:spacing w:val="0"/>
                <w:sz w:val="23"/>
                <w:szCs w:val="23"/>
                <w:bdr w:val="none" w:color="auto" w:sz="0" w:space="0"/>
                <w:vertAlign w:val="baseline"/>
              </w:rPr>
              <w:t>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A15E7"/>
    <w:rsid w:val="26AA15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2019-01-23T06:58:00Z</dcterms:created>
  <dc:creator>ASUS</dc:creator>
  <cp:lastModifiedBy>ASUS</cp:lastModifiedBy>
  <dcterms:modified xsi:type="dcterms:W3CDTF">2019-01-23T06:58:20Z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