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shd w:val="clear" w:fill="FFFFFF"/>
        </w:rPr>
        <w:t>2019年</w:t>
      </w: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bdr w:val="none" w:color="auto" w:sz="0" w:space="0"/>
          <w:shd w:val="clear" w:fill="FFFFFF"/>
        </w:rPr>
        <w:t>中国社会科学院工业经济研究所拟聘用专业技术岗位人员公示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852"/>
        <w:gridCol w:w="1108"/>
        <w:gridCol w:w="1080"/>
        <w:gridCol w:w="1291"/>
        <w:gridCol w:w="1094"/>
        <w:gridCol w:w="1390"/>
        <w:gridCol w:w="2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2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 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出站博士后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清华大学建筑学院城乡规划学博士后流动站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 宇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国民经济学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1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出站博士后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595757"/>
                <w:spacing w:val="-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中国社科院工业经济研究所应用经济学博士后流动站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13CF6"/>
    <w:rsid w:val="48113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2019-01-23T06:54:00Z</dcterms:created>
  <dc:creator>ASUS</dc:creator>
  <cp:lastModifiedBy>ASUS</cp:lastModifiedBy>
  <dcterms:modified xsi:type="dcterms:W3CDTF">2019-01-23T06:55:16Z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