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附件3：  </w:t>
      </w:r>
      <w:bookmarkStart w:id="0" w:name="_GoBack"/>
      <w:r>
        <w:rPr>
          <w:rFonts w:ascii="仿宋_GB2312" w:eastAsia="仿宋_GB2312"/>
          <w:b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9年中小学非师范类应聘对象的专业要求</w:t>
      </w:r>
      <w:bookmarkEnd w:id="0"/>
    </w:p>
    <w:p>
      <w:pPr>
        <w:rPr>
          <w:rFonts w:hint="eastAsia" w:ascii="仿宋_GB2312" w:hAnsi="宋体" w:eastAsia="仿宋_GB2312"/>
          <w:sz w:val="32"/>
          <w:szCs w:val="32"/>
        </w:rPr>
      </w:pPr>
    </w:p>
    <w:tbl>
      <w:tblPr>
        <w:tblStyle w:val="3"/>
        <w:tblpPr w:leftFromText="180" w:rightFromText="180" w:vertAnchor="page" w:horzAnchor="margin" w:tblpY="2836"/>
        <w:tblW w:w="8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7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44" w:type="dxa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专业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</w:t>
            </w:r>
          </w:p>
        </w:tc>
        <w:tc>
          <w:tcPr>
            <w:tcW w:w="7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非师范类专业要求及其它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语文</w:t>
            </w:r>
          </w:p>
        </w:tc>
        <w:tc>
          <w:tcPr>
            <w:tcW w:w="7353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1.</w:t>
            </w:r>
            <w:r>
              <w:rPr>
                <w:rFonts w:hint="eastAsia" w:ascii="仿宋_GB2312" w:eastAsia="仿宋_GB2312"/>
                <w:sz w:val="24"/>
              </w:rPr>
              <w:t>汉语言文学、汉语言、汉语言国际教育（对外汉语）专业；</w:t>
            </w:r>
            <w:r>
              <w:rPr>
                <w:rFonts w:ascii="仿宋_GB2312" w:eastAsia="仿宋_GB2312"/>
                <w:sz w:val="24"/>
              </w:rPr>
              <w:t>2.</w:t>
            </w:r>
            <w:r>
              <w:rPr>
                <w:rFonts w:hint="eastAsia" w:ascii="仿宋_GB2312" w:eastAsia="仿宋_GB2312"/>
                <w:sz w:val="24"/>
              </w:rPr>
              <w:t>具有普通话二甲证书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数学</w:t>
            </w:r>
          </w:p>
        </w:tc>
        <w:tc>
          <w:tcPr>
            <w:tcW w:w="7353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数学与应用数学、</w:t>
            </w:r>
            <w:r>
              <w:rPr>
                <w:rFonts w:hint="eastAsia" w:ascii="仿宋_GB2312" w:hAnsi="微软雅黑" w:eastAsia="仿宋_GB2312"/>
                <w:color w:val="000000"/>
                <w:sz w:val="24"/>
                <w:shd w:val="clear" w:color="auto" w:fill="FFFFFF"/>
              </w:rPr>
              <w:t>应用数学专业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英语</w:t>
            </w:r>
          </w:p>
        </w:tc>
        <w:tc>
          <w:tcPr>
            <w:tcW w:w="7353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科学</w:t>
            </w:r>
          </w:p>
        </w:tc>
        <w:tc>
          <w:tcPr>
            <w:tcW w:w="7353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物理学、应用物理学、化学、应用化学、地理科学、生物技术、生物科学专业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历史与社会</w:t>
            </w:r>
          </w:p>
        </w:tc>
        <w:tc>
          <w:tcPr>
            <w:tcW w:w="7353" w:type="dxa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政治学、哲学、历史学、地理科学、地理信息科学专业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体育</w:t>
            </w:r>
          </w:p>
        </w:tc>
        <w:tc>
          <w:tcPr>
            <w:tcW w:w="7353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体育教育、运动训练、武术与民族传统体育、社会体育专业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音乐</w:t>
            </w:r>
          </w:p>
        </w:tc>
        <w:tc>
          <w:tcPr>
            <w:tcW w:w="7353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音乐表演、音乐学、舞蹈表演、舞蹈学、舞蹈编导专业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信息技术</w:t>
            </w:r>
          </w:p>
        </w:tc>
        <w:tc>
          <w:tcPr>
            <w:tcW w:w="7353" w:type="dxa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计算机科学与技术、教育技术学、网络工程、软件工程、数字媒体技术、计算机应用技术专业</w:t>
            </w: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非师范类应届研究生应聘对象的专业要求：研究生专业与上述相应应聘学科所提供的专业类别一致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2038A"/>
    <w:rsid w:val="08A203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2019-02-15T03:58:00Z</dcterms:created>
  <dc:creator>天空</dc:creator>
  <cp:lastModifiedBy>天空</cp:lastModifiedBy>
  <dcterms:modified xsi:type="dcterms:W3CDTF">2019-02-15T03:58:26Z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