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80" w:type="dxa"/>
        <w:jc w:val="center"/>
        <w:tblCellSpacing w:w="15"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755"/>
        <w:gridCol w:w="826"/>
        <w:gridCol w:w="3203"/>
        <w:gridCol w:w="268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1365" w:hRule="atLeast"/>
          <w:tblCellSpacing w:w="15" w:type="dxa"/>
          <w:jc w:val="center"/>
        </w:trPr>
        <w:tc>
          <w:tcPr>
            <w:tcW w:w="710" w:type="dxa"/>
            <w:shd w:val="clear"/>
            <w:tcMar>
              <w:top w:w="0" w:type="dxa"/>
              <w:left w:w="105" w:type="dxa"/>
              <w:bottom w:w="0" w:type="dxa"/>
              <w:right w:w="105" w:type="dxa"/>
            </w:tcMar>
            <w:vAlign w:val="center"/>
          </w:tcPr>
          <w:p>
            <w:pPr>
              <w:pStyle w:val="2"/>
              <w:keepNext w:val="0"/>
              <w:keepLines w:val="0"/>
              <w:widowControl/>
              <w:suppressLineNumbers w:val="0"/>
              <w:spacing w:line="405" w:lineRule="atLeast"/>
              <w:jc w:val="center"/>
              <w:rPr>
                <w:sz w:val="21"/>
                <w:szCs w:val="21"/>
              </w:rPr>
            </w:pPr>
            <w:r>
              <w:rPr>
                <w:rStyle w:val="4"/>
                <w:rFonts w:hint="eastAsia" w:ascii="宋体" w:hAnsi="宋体" w:eastAsia="宋体" w:cs="宋体"/>
                <w:color w:val="333333"/>
                <w:sz w:val="21"/>
                <w:szCs w:val="21"/>
                <w:bdr w:val="none" w:color="auto" w:sz="0" w:space="0"/>
              </w:rPr>
              <w:t>招聘部门</w:t>
            </w:r>
          </w:p>
        </w:tc>
        <w:tc>
          <w:tcPr>
            <w:tcW w:w="796" w:type="dxa"/>
            <w:shd w:val="clear"/>
            <w:tcMar>
              <w:top w:w="0" w:type="dxa"/>
              <w:left w:w="105" w:type="dxa"/>
              <w:bottom w:w="0" w:type="dxa"/>
              <w:right w:w="105" w:type="dxa"/>
            </w:tcMar>
            <w:vAlign w:val="center"/>
          </w:tcPr>
          <w:p>
            <w:pPr>
              <w:pStyle w:val="2"/>
              <w:keepNext w:val="0"/>
              <w:keepLines w:val="0"/>
              <w:widowControl/>
              <w:suppressLineNumbers w:val="0"/>
              <w:spacing w:line="405" w:lineRule="atLeast"/>
              <w:jc w:val="center"/>
              <w:rPr>
                <w:sz w:val="21"/>
                <w:szCs w:val="21"/>
              </w:rPr>
            </w:pPr>
            <w:r>
              <w:rPr>
                <w:rStyle w:val="4"/>
                <w:rFonts w:hint="eastAsia" w:ascii="宋体" w:hAnsi="宋体" w:eastAsia="宋体" w:cs="宋体"/>
                <w:color w:val="333333"/>
                <w:sz w:val="21"/>
                <w:szCs w:val="21"/>
                <w:bdr w:val="none" w:color="auto" w:sz="0" w:space="0"/>
              </w:rPr>
              <w:t>招聘</w:t>
            </w:r>
          </w:p>
          <w:p>
            <w:pPr>
              <w:pStyle w:val="2"/>
              <w:keepNext w:val="0"/>
              <w:keepLines w:val="0"/>
              <w:widowControl/>
              <w:suppressLineNumbers w:val="0"/>
              <w:spacing w:line="405" w:lineRule="atLeast"/>
              <w:jc w:val="center"/>
              <w:rPr>
                <w:sz w:val="21"/>
                <w:szCs w:val="21"/>
              </w:rPr>
            </w:pPr>
            <w:r>
              <w:rPr>
                <w:rStyle w:val="4"/>
                <w:rFonts w:hint="eastAsia" w:ascii="宋体" w:hAnsi="宋体" w:eastAsia="宋体" w:cs="宋体"/>
                <w:color w:val="333333"/>
                <w:sz w:val="21"/>
                <w:szCs w:val="21"/>
                <w:bdr w:val="none" w:color="auto" w:sz="0" w:space="0"/>
              </w:rPr>
              <w:t>岗位</w:t>
            </w:r>
          </w:p>
        </w:tc>
        <w:tc>
          <w:tcPr>
            <w:tcW w:w="3173" w:type="dxa"/>
            <w:shd w:val="clear"/>
            <w:tcMar>
              <w:top w:w="0" w:type="dxa"/>
              <w:left w:w="105" w:type="dxa"/>
              <w:bottom w:w="0" w:type="dxa"/>
              <w:right w:w="105" w:type="dxa"/>
            </w:tcMar>
            <w:vAlign w:val="center"/>
          </w:tcPr>
          <w:p>
            <w:pPr>
              <w:pStyle w:val="2"/>
              <w:keepNext w:val="0"/>
              <w:keepLines w:val="0"/>
              <w:widowControl/>
              <w:suppressLineNumbers w:val="0"/>
              <w:spacing w:line="450" w:lineRule="atLeast"/>
              <w:jc w:val="center"/>
              <w:rPr>
                <w:sz w:val="21"/>
                <w:szCs w:val="21"/>
              </w:rPr>
            </w:pPr>
            <w:r>
              <w:rPr>
                <w:rStyle w:val="4"/>
                <w:rFonts w:hint="eastAsia" w:ascii="宋体" w:hAnsi="宋体" w:eastAsia="宋体" w:cs="宋体"/>
                <w:color w:val="333333"/>
                <w:sz w:val="21"/>
                <w:szCs w:val="21"/>
                <w:bdr w:val="none" w:color="auto" w:sz="0" w:space="0"/>
              </w:rPr>
              <w:t>职位描述</w:t>
            </w:r>
            <w:bookmarkStart w:id="0" w:name="_GoBack"/>
            <w:bookmarkEnd w:id="0"/>
          </w:p>
        </w:tc>
        <w:tc>
          <w:tcPr>
            <w:tcW w:w="2653" w:type="dxa"/>
            <w:shd w:val="clear"/>
            <w:tcMar>
              <w:top w:w="0" w:type="dxa"/>
              <w:left w:w="105" w:type="dxa"/>
              <w:bottom w:w="0" w:type="dxa"/>
              <w:right w:w="105" w:type="dxa"/>
            </w:tcMar>
            <w:vAlign w:val="center"/>
          </w:tcPr>
          <w:p>
            <w:pPr>
              <w:pStyle w:val="2"/>
              <w:keepNext w:val="0"/>
              <w:keepLines w:val="0"/>
              <w:widowControl/>
              <w:suppressLineNumbers w:val="0"/>
              <w:spacing w:line="450" w:lineRule="atLeast"/>
              <w:jc w:val="center"/>
              <w:rPr>
                <w:sz w:val="21"/>
                <w:szCs w:val="21"/>
              </w:rPr>
            </w:pPr>
            <w:r>
              <w:rPr>
                <w:rStyle w:val="4"/>
                <w:rFonts w:hint="eastAsia" w:ascii="宋体" w:hAnsi="宋体" w:eastAsia="宋体" w:cs="宋体"/>
                <w:color w:val="333333"/>
                <w:sz w:val="21"/>
                <w:szCs w:val="21"/>
                <w:bdr w:val="none" w:color="auto" w:sz="0" w:space="0"/>
              </w:rPr>
              <w:t>任职要求</w:t>
            </w:r>
          </w:p>
        </w:tc>
        <w:tc>
          <w:tcPr>
            <w:tcW w:w="768" w:type="dxa"/>
            <w:shd w:val="clear"/>
            <w:tcMar>
              <w:top w:w="0" w:type="dxa"/>
              <w:left w:w="105" w:type="dxa"/>
              <w:bottom w:w="0" w:type="dxa"/>
              <w:right w:w="105" w:type="dxa"/>
            </w:tcMar>
            <w:vAlign w:val="center"/>
          </w:tcPr>
          <w:p>
            <w:pPr>
              <w:pStyle w:val="2"/>
              <w:keepNext w:val="0"/>
              <w:keepLines w:val="0"/>
              <w:widowControl/>
              <w:suppressLineNumbers w:val="0"/>
              <w:spacing w:line="450" w:lineRule="atLeast"/>
              <w:jc w:val="center"/>
              <w:rPr>
                <w:sz w:val="21"/>
                <w:szCs w:val="21"/>
              </w:rPr>
            </w:pPr>
            <w:r>
              <w:rPr>
                <w:rStyle w:val="4"/>
                <w:rFonts w:hint="eastAsia" w:ascii="宋体" w:hAnsi="宋体" w:eastAsia="宋体" w:cs="宋体"/>
                <w:color w:val="333333"/>
                <w:sz w:val="21"/>
                <w:szCs w:val="21"/>
                <w:bdr w:val="none" w:color="auto" w:sz="0" w:space="0"/>
              </w:rPr>
              <w:t>招聘</w:t>
            </w:r>
          </w:p>
          <w:p>
            <w:pPr>
              <w:pStyle w:val="2"/>
              <w:keepNext w:val="0"/>
              <w:keepLines w:val="0"/>
              <w:widowControl/>
              <w:suppressLineNumbers w:val="0"/>
              <w:spacing w:line="450" w:lineRule="atLeast"/>
              <w:jc w:val="center"/>
              <w:rPr>
                <w:sz w:val="21"/>
                <w:szCs w:val="21"/>
              </w:rPr>
            </w:pPr>
            <w:r>
              <w:rPr>
                <w:rStyle w:val="4"/>
                <w:rFonts w:hint="eastAsia" w:ascii="宋体" w:hAnsi="宋体" w:eastAsia="宋体" w:cs="宋体"/>
                <w:color w:val="333333"/>
                <w:sz w:val="21"/>
                <w:szCs w:val="21"/>
                <w:bdr w:val="none" w:color="auto" w:sz="0" w:space="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6120" w:hRule="atLeast"/>
          <w:tblCellSpacing w:w="15" w:type="dxa"/>
          <w:jc w:val="center"/>
        </w:trPr>
        <w:tc>
          <w:tcPr>
            <w:tcW w:w="710" w:type="dxa"/>
            <w:shd w:val="clear"/>
            <w:tcMar>
              <w:top w:w="0" w:type="dxa"/>
              <w:left w:w="105" w:type="dxa"/>
              <w:bottom w:w="0" w:type="dxa"/>
              <w:right w:w="105" w:type="dxa"/>
            </w:tcMar>
            <w:vAlign w:val="center"/>
          </w:tcPr>
          <w:p>
            <w:pPr>
              <w:pStyle w:val="2"/>
              <w:keepNext w:val="0"/>
              <w:keepLines w:val="0"/>
              <w:widowControl/>
              <w:suppressLineNumbers w:val="0"/>
              <w:spacing w:line="405" w:lineRule="atLeast"/>
              <w:jc w:val="center"/>
              <w:rPr>
                <w:sz w:val="21"/>
                <w:szCs w:val="21"/>
              </w:rPr>
            </w:pPr>
            <w:r>
              <w:rPr>
                <w:rStyle w:val="4"/>
                <w:rFonts w:hint="eastAsia" w:ascii="宋体" w:hAnsi="宋体" w:eastAsia="宋体" w:cs="宋体"/>
                <w:color w:val="333333"/>
                <w:sz w:val="21"/>
                <w:szCs w:val="21"/>
                <w:bdr w:val="none" w:color="auto" w:sz="0" w:space="0"/>
              </w:rPr>
              <w:t>教</w:t>
            </w:r>
          </w:p>
          <w:p>
            <w:pPr>
              <w:pStyle w:val="2"/>
              <w:keepNext w:val="0"/>
              <w:keepLines w:val="0"/>
              <w:widowControl/>
              <w:suppressLineNumbers w:val="0"/>
              <w:spacing w:line="405" w:lineRule="atLeast"/>
              <w:jc w:val="center"/>
              <w:rPr>
                <w:sz w:val="21"/>
                <w:szCs w:val="21"/>
              </w:rPr>
            </w:pPr>
            <w:r>
              <w:rPr>
                <w:rStyle w:val="4"/>
                <w:rFonts w:hint="eastAsia" w:ascii="宋体" w:hAnsi="宋体" w:eastAsia="宋体" w:cs="宋体"/>
                <w:color w:val="333333"/>
                <w:sz w:val="21"/>
                <w:szCs w:val="21"/>
                <w:bdr w:val="none" w:color="auto" w:sz="0" w:space="0"/>
              </w:rPr>
              <w:t>务</w:t>
            </w:r>
          </w:p>
          <w:p>
            <w:pPr>
              <w:pStyle w:val="2"/>
              <w:keepNext w:val="0"/>
              <w:keepLines w:val="0"/>
              <w:widowControl/>
              <w:suppressLineNumbers w:val="0"/>
              <w:spacing w:line="405" w:lineRule="atLeast"/>
              <w:jc w:val="center"/>
              <w:rPr>
                <w:sz w:val="21"/>
                <w:szCs w:val="21"/>
              </w:rPr>
            </w:pPr>
            <w:r>
              <w:rPr>
                <w:rStyle w:val="4"/>
                <w:rFonts w:hint="eastAsia" w:ascii="宋体" w:hAnsi="宋体" w:eastAsia="宋体" w:cs="宋体"/>
                <w:color w:val="333333"/>
                <w:sz w:val="21"/>
                <w:szCs w:val="21"/>
                <w:bdr w:val="none" w:color="auto" w:sz="0" w:space="0"/>
              </w:rPr>
              <w:t>处</w:t>
            </w:r>
          </w:p>
        </w:tc>
        <w:tc>
          <w:tcPr>
            <w:tcW w:w="796" w:type="dxa"/>
            <w:shd w:val="clear"/>
            <w:tcMar>
              <w:top w:w="0" w:type="dxa"/>
              <w:left w:w="105" w:type="dxa"/>
              <w:bottom w:w="0" w:type="dxa"/>
              <w:right w:w="105" w:type="dxa"/>
            </w:tcMar>
            <w:vAlign w:val="center"/>
          </w:tcPr>
          <w:p>
            <w:pPr>
              <w:pStyle w:val="2"/>
              <w:keepNext w:val="0"/>
              <w:keepLines w:val="0"/>
              <w:widowControl/>
              <w:suppressLineNumbers w:val="0"/>
              <w:spacing w:line="405" w:lineRule="atLeast"/>
              <w:jc w:val="center"/>
              <w:rPr>
                <w:sz w:val="21"/>
                <w:szCs w:val="21"/>
              </w:rPr>
            </w:pPr>
            <w:r>
              <w:rPr>
                <w:color w:val="333333"/>
                <w:sz w:val="21"/>
                <w:szCs w:val="21"/>
                <w:bdr w:val="none" w:color="auto" w:sz="0" w:space="0"/>
              </w:rPr>
              <w:t>评</w:t>
            </w:r>
          </w:p>
          <w:p>
            <w:pPr>
              <w:pStyle w:val="2"/>
              <w:keepNext w:val="0"/>
              <w:keepLines w:val="0"/>
              <w:widowControl/>
              <w:suppressLineNumbers w:val="0"/>
              <w:spacing w:line="405" w:lineRule="atLeast"/>
              <w:jc w:val="center"/>
              <w:rPr>
                <w:sz w:val="21"/>
                <w:szCs w:val="21"/>
              </w:rPr>
            </w:pPr>
            <w:r>
              <w:rPr>
                <w:color w:val="333333"/>
                <w:sz w:val="21"/>
                <w:szCs w:val="21"/>
                <w:bdr w:val="none" w:color="auto" w:sz="0" w:space="0"/>
              </w:rPr>
              <w:t>估</w:t>
            </w:r>
          </w:p>
          <w:p>
            <w:pPr>
              <w:pStyle w:val="2"/>
              <w:keepNext w:val="0"/>
              <w:keepLines w:val="0"/>
              <w:widowControl/>
              <w:suppressLineNumbers w:val="0"/>
              <w:spacing w:line="405" w:lineRule="atLeast"/>
              <w:jc w:val="center"/>
              <w:rPr>
                <w:sz w:val="21"/>
                <w:szCs w:val="21"/>
              </w:rPr>
            </w:pPr>
            <w:r>
              <w:rPr>
                <w:color w:val="333333"/>
                <w:sz w:val="21"/>
                <w:szCs w:val="21"/>
                <w:bdr w:val="none" w:color="auto" w:sz="0" w:space="0"/>
              </w:rPr>
              <w:t>办</w:t>
            </w:r>
          </w:p>
          <w:p>
            <w:pPr>
              <w:pStyle w:val="2"/>
              <w:keepNext w:val="0"/>
              <w:keepLines w:val="0"/>
              <w:widowControl/>
              <w:suppressLineNumbers w:val="0"/>
              <w:spacing w:line="405" w:lineRule="atLeast"/>
              <w:jc w:val="center"/>
              <w:rPr>
                <w:sz w:val="21"/>
                <w:szCs w:val="21"/>
              </w:rPr>
            </w:pPr>
            <w:r>
              <w:rPr>
                <w:color w:val="333333"/>
                <w:sz w:val="21"/>
                <w:szCs w:val="21"/>
                <w:bdr w:val="none" w:color="auto" w:sz="0" w:space="0"/>
              </w:rPr>
              <w:t>干</w:t>
            </w:r>
          </w:p>
          <w:p>
            <w:pPr>
              <w:pStyle w:val="2"/>
              <w:keepNext w:val="0"/>
              <w:keepLines w:val="0"/>
              <w:widowControl/>
              <w:suppressLineNumbers w:val="0"/>
              <w:spacing w:line="405" w:lineRule="atLeast"/>
              <w:jc w:val="center"/>
              <w:rPr>
                <w:sz w:val="21"/>
                <w:szCs w:val="21"/>
              </w:rPr>
            </w:pPr>
            <w:r>
              <w:rPr>
                <w:color w:val="333333"/>
                <w:sz w:val="21"/>
                <w:szCs w:val="21"/>
                <w:bdr w:val="none" w:color="auto" w:sz="0" w:space="0"/>
              </w:rPr>
              <w:t>事</w:t>
            </w:r>
          </w:p>
        </w:tc>
        <w:tc>
          <w:tcPr>
            <w:tcW w:w="3173" w:type="dxa"/>
            <w:shd w:val="clear"/>
            <w:tcMar>
              <w:top w:w="0" w:type="dxa"/>
              <w:left w:w="105" w:type="dxa"/>
              <w:bottom w:w="0" w:type="dxa"/>
              <w:right w:w="105" w:type="dxa"/>
            </w:tcMar>
            <w:vAlign w:val="center"/>
          </w:tcPr>
          <w:p>
            <w:pPr>
              <w:pStyle w:val="2"/>
              <w:keepNext w:val="0"/>
              <w:keepLines w:val="0"/>
              <w:widowControl/>
              <w:suppressLineNumbers w:val="0"/>
              <w:spacing w:line="450" w:lineRule="atLeast"/>
              <w:rPr>
                <w:sz w:val="21"/>
                <w:szCs w:val="21"/>
              </w:rPr>
            </w:pPr>
            <w:r>
              <w:rPr>
                <w:rFonts w:ascii="Calibri" w:hAnsi="Calibri" w:cs="Calibri"/>
                <w:color w:val="333333"/>
                <w:sz w:val="21"/>
                <w:szCs w:val="21"/>
                <w:bdr w:val="none" w:color="auto" w:sz="0" w:space="0"/>
              </w:rPr>
              <w:t>1.</w:t>
            </w:r>
            <w:r>
              <w:rPr>
                <w:rFonts w:hint="eastAsia" w:ascii="宋体" w:hAnsi="宋体" w:eastAsia="宋体" w:cs="宋体"/>
                <w:color w:val="333333"/>
                <w:sz w:val="21"/>
                <w:szCs w:val="21"/>
                <w:bdr w:val="none" w:color="auto" w:sz="0" w:space="0"/>
              </w:rPr>
              <w:t>负责制定学校教学评估工作的规章制度、政策措施和评估指标体系等；</w:t>
            </w:r>
          </w:p>
          <w:p>
            <w:pPr>
              <w:pStyle w:val="2"/>
              <w:keepNext w:val="0"/>
              <w:keepLines w:val="0"/>
              <w:widowControl/>
              <w:suppressLineNumbers w:val="0"/>
              <w:spacing w:line="450" w:lineRule="atLeast"/>
              <w:rPr>
                <w:sz w:val="21"/>
                <w:szCs w:val="21"/>
              </w:rPr>
            </w:pPr>
            <w:r>
              <w:rPr>
                <w:rFonts w:hint="default" w:ascii="Calibri" w:hAnsi="Calibri" w:cs="Calibri"/>
                <w:color w:val="333333"/>
                <w:sz w:val="21"/>
                <w:szCs w:val="21"/>
                <w:bdr w:val="none" w:color="auto" w:sz="0" w:space="0"/>
              </w:rPr>
              <w:t>2.</w:t>
            </w:r>
            <w:r>
              <w:rPr>
                <w:rFonts w:hint="eastAsia" w:ascii="宋体" w:hAnsi="宋体" w:eastAsia="宋体" w:cs="宋体"/>
                <w:color w:val="333333"/>
                <w:sz w:val="21"/>
                <w:szCs w:val="21"/>
                <w:bdr w:val="none" w:color="auto" w:sz="0" w:space="0"/>
              </w:rPr>
              <w:t>负责组织实施学校本科教学工作合格评估和审核评估；</w:t>
            </w:r>
          </w:p>
          <w:p>
            <w:pPr>
              <w:pStyle w:val="2"/>
              <w:keepNext w:val="0"/>
              <w:keepLines w:val="0"/>
              <w:widowControl/>
              <w:suppressLineNumbers w:val="0"/>
              <w:spacing w:line="450" w:lineRule="atLeast"/>
              <w:rPr>
                <w:sz w:val="21"/>
                <w:szCs w:val="21"/>
              </w:rPr>
            </w:pPr>
            <w:r>
              <w:rPr>
                <w:rFonts w:hint="default" w:ascii="Calibri" w:hAnsi="Calibri" w:cs="Calibri"/>
                <w:color w:val="333333"/>
                <w:sz w:val="21"/>
                <w:szCs w:val="21"/>
                <w:bdr w:val="none" w:color="auto" w:sz="0" w:space="0"/>
              </w:rPr>
              <w:t>3.</w:t>
            </w:r>
            <w:r>
              <w:rPr>
                <w:rFonts w:hint="eastAsia" w:ascii="宋体" w:hAnsi="宋体" w:eastAsia="宋体" w:cs="宋体"/>
                <w:color w:val="333333"/>
                <w:sz w:val="21"/>
                <w:szCs w:val="21"/>
                <w:bdr w:val="none" w:color="auto" w:sz="0" w:space="0"/>
              </w:rPr>
              <w:t>负责学校本科教学基本状态数据的采集、填报和上传工作，建立健全学校教学基本状态数据平台并负责相关数据的发布；</w:t>
            </w:r>
          </w:p>
          <w:p>
            <w:pPr>
              <w:pStyle w:val="2"/>
              <w:keepNext w:val="0"/>
              <w:keepLines w:val="0"/>
              <w:widowControl/>
              <w:suppressLineNumbers w:val="0"/>
              <w:spacing w:line="450" w:lineRule="atLeast"/>
              <w:rPr>
                <w:sz w:val="21"/>
                <w:szCs w:val="21"/>
              </w:rPr>
            </w:pPr>
            <w:r>
              <w:rPr>
                <w:rFonts w:hint="default" w:ascii="Calibri" w:hAnsi="Calibri" w:cs="Calibri"/>
                <w:color w:val="333333"/>
                <w:sz w:val="21"/>
                <w:szCs w:val="21"/>
                <w:bdr w:val="none" w:color="auto" w:sz="0" w:space="0"/>
              </w:rPr>
              <w:t>4.</w:t>
            </w:r>
            <w:r>
              <w:rPr>
                <w:rFonts w:hint="eastAsia" w:ascii="宋体" w:hAnsi="宋体" w:eastAsia="宋体" w:cs="宋体"/>
                <w:color w:val="333333"/>
                <w:sz w:val="21"/>
                <w:szCs w:val="21"/>
                <w:bdr w:val="none" w:color="auto" w:sz="0" w:space="0"/>
              </w:rPr>
              <w:t>负责院教学工作年度考核评比的组织实施和学校本科教学年度报告的编制和发布；</w:t>
            </w:r>
          </w:p>
          <w:p>
            <w:pPr>
              <w:pStyle w:val="2"/>
              <w:keepNext w:val="0"/>
              <w:keepLines w:val="0"/>
              <w:widowControl/>
              <w:suppressLineNumbers w:val="0"/>
              <w:spacing w:line="450" w:lineRule="atLeast"/>
              <w:rPr>
                <w:sz w:val="21"/>
                <w:szCs w:val="21"/>
              </w:rPr>
            </w:pPr>
            <w:r>
              <w:rPr>
                <w:rFonts w:hint="default" w:ascii="Calibri" w:hAnsi="Calibri" w:cs="Calibri"/>
                <w:color w:val="333333"/>
                <w:sz w:val="21"/>
                <w:szCs w:val="21"/>
                <w:bdr w:val="none" w:color="auto" w:sz="0" w:space="0"/>
              </w:rPr>
              <w:t>5.</w:t>
            </w:r>
            <w:r>
              <w:rPr>
                <w:rFonts w:hint="eastAsia" w:ascii="宋体" w:hAnsi="宋体" w:eastAsia="宋体" w:cs="宋体"/>
                <w:color w:val="333333"/>
                <w:sz w:val="21"/>
                <w:szCs w:val="21"/>
                <w:bdr w:val="none" w:color="auto" w:sz="0" w:space="0"/>
              </w:rPr>
              <w:t>负责上级主管部门或社会权威评估机构对学校进行的评估迎评工作的组织实施；</w:t>
            </w:r>
          </w:p>
          <w:p>
            <w:pPr>
              <w:pStyle w:val="2"/>
              <w:keepNext w:val="0"/>
              <w:keepLines w:val="0"/>
              <w:widowControl/>
              <w:suppressLineNumbers w:val="0"/>
              <w:spacing w:line="450" w:lineRule="atLeast"/>
              <w:rPr>
                <w:sz w:val="21"/>
                <w:szCs w:val="21"/>
              </w:rPr>
            </w:pPr>
            <w:r>
              <w:rPr>
                <w:rFonts w:hint="default" w:ascii="Calibri" w:hAnsi="Calibri" w:cs="Calibri"/>
                <w:color w:val="333333"/>
                <w:sz w:val="21"/>
                <w:szCs w:val="21"/>
                <w:bdr w:val="none" w:color="auto" w:sz="0" w:space="0"/>
              </w:rPr>
              <w:t>6.</w:t>
            </w:r>
            <w:r>
              <w:rPr>
                <w:rFonts w:hint="eastAsia" w:ascii="宋体" w:hAnsi="宋体" w:eastAsia="宋体" w:cs="宋体"/>
                <w:color w:val="333333"/>
                <w:sz w:val="21"/>
                <w:szCs w:val="21"/>
                <w:bdr w:val="none" w:color="auto" w:sz="0" w:space="0"/>
              </w:rPr>
              <w:t>负责材料的搜集、整理、汇总统计、信息反馈、装盒和归档。</w:t>
            </w:r>
          </w:p>
          <w:p>
            <w:pPr>
              <w:pStyle w:val="2"/>
              <w:keepNext w:val="0"/>
              <w:keepLines w:val="0"/>
              <w:widowControl/>
              <w:suppressLineNumbers w:val="0"/>
              <w:spacing w:line="405" w:lineRule="atLeast"/>
              <w:rPr>
                <w:sz w:val="21"/>
                <w:szCs w:val="21"/>
              </w:rPr>
            </w:pPr>
            <w:r>
              <w:rPr>
                <w:rFonts w:hint="default" w:ascii="Calibri" w:hAnsi="Calibri" w:cs="Calibri"/>
                <w:color w:val="333333"/>
                <w:sz w:val="21"/>
                <w:szCs w:val="21"/>
                <w:bdr w:val="none" w:color="auto" w:sz="0" w:space="0"/>
              </w:rPr>
              <w:t>7.</w:t>
            </w:r>
            <w:r>
              <w:rPr>
                <w:rFonts w:hint="eastAsia" w:ascii="宋体" w:hAnsi="宋体" w:eastAsia="宋体" w:cs="宋体"/>
                <w:color w:val="333333"/>
                <w:sz w:val="21"/>
                <w:szCs w:val="21"/>
                <w:bdr w:val="none" w:color="auto" w:sz="0" w:space="0"/>
              </w:rPr>
              <w:t>完成学校交办的其他工作。</w:t>
            </w:r>
          </w:p>
        </w:tc>
        <w:tc>
          <w:tcPr>
            <w:tcW w:w="2653" w:type="dxa"/>
            <w:shd w:val="clear"/>
            <w:tcMar>
              <w:top w:w="0" w:type="dxa"/>
              <w:left w:w="105" w:type="dxa"/>
              <w:bottom w:w="0" w:type="dxa"/>
              <w:right w:w="105" w:type="dxa"/>
            </w:tcMar>
            <w:vAlign w:val="center"/>
          </w:tcPr>
          <w:p>
            <w:pPr>
              <w:pStyle w:val="2"/>
              <w:keepNext w:val="0"/>
              <w:keepLines w:val="0"/>
              <w:widowControl/>
              <w:suppressLineNumbers w:val="0"/>
              <w:spacing w:line="450" w:lineRule="atLeast"/>
              <w:rPr>
                <w:sz w:val="21"/>
                <w:szCs w:val="21"/>
              </w:rPr>
            </w:pPr>
            <w:r>
              <w:rPr>
                <w:color w:val="333333"/>
                <w:sz w:val="21"/>
                <w:szCs w:val="21"/>
                <w:bdr w:val="none" w:color="auto" w:sz="0" w:space="0"/>
              </w:rPr>
              <w:t>1</w:t>
            </w:r>
            <w:r>
              <w:rPr>
                <w:rFonts w:hint="default" w:ascii="Calibri" w:hAnsi="Calibri" w:cs="Calibri"/>
                <w:color w:val="333333"/>
                <w:sz w:val="21"/>
                <w:szCs w:val="21"/>
                <w:bdr w:val="none" w:color="auto" w:sz="0" w:space="0"/>
              </w:rPr>
              <w:t>.</w:t>
            </w:r>
            <w:r>
              <w:rPr>
                <w:rFonts w:hint="eastAsia" w:ascii="宋体" w:hAnsi="宋体" w:eastAsia="宋体" w:cs="宋体"/>
                <w:color w:val="333333"/>
                <w:sz w:val="21"/>
                <w:szCs w:val="21"/>
                <w:bdr w:val="none" w:color="auto" w:sz="0" w:space="0"/>
              </w:rPr>
              <w:t>硕士研究生及以上学历，</w:t>
            </w:r>
            <w:r>
              <w:rPr>
                <w:rFonts w:hint="eastAsia" w:ascii="宋体" w:hAnsi="宋体" w:eastAsia="宋体" w:cs="宋体"/>
                <w:color w:val="333333"/>
                <w:sz w:val="19"/>
                <w:szCs w:val="19"/>
                <w:bdr w:val="none" w:color="auto" w:sz="0" w:space="0"/>
                <w:shd w:val="clear" w:fill="FFFFFF"/>
              </w:rPr>
              <w:t>文学</w:t>
            </w:r>
            <w:r>
              <w:rPr>
                <w:rFonts w:hint="eastAsia" w:ascii="宋体" w:hAnsi="宋体" w:eastAsia="宋体" w:cs="宋体"/>
                <w:color w:val="333333"/>
                <w:sz w:val="21"/>
                <w:szCs w:val="21"/>
                <w:bdr w:val="none" w:color="auto" w:sz="0" w:space="0"/>
              </w:rPr>
              <w:t>、秘书学、汉语言文学等相关专业；</w:t>
            </w:r>
          </w:p>
          <w:p>
            <w:pPr>
              <w:pStyle w:val="2"/>
              <w:keepNext w:val="0"/>
              <w:keepLines w:val="0"/>
              <w:widowControl/>
              <w:suppressLineNumbers w:val="0"/>
              <w:spacing w:line="450" w:lineRule="atLeast"/>
              <w:rPr>
                <w:sz w:val="21"/>
                <w:szCs w:val="21"/>
              </w:rPr>
            </w:pPr>
            <w:r>
              <w:rPr>
                <w:color w:val="333333"/>
                <w:sz w:val="21"/>
                <w:szCs w:val="21"/>
                <w:bdr w:val="none" w:color="auto" w:sz="0" w:space="0"/>
              </w:rPr>
              <w:t>2</w:t>
            </w:r>
            <w:r>
              <w:rPr>
                <w:rFonts w:hint="default" w:ascii="Calibri" w:hAnsi="Calibri" w:cs="Calibri"/>
                <w:color w:val="333333"/>
                <w:sz w:val="21"/>
                <w:szCs w:val="21"/>
                <w:bdr w:val="none" w:color="auto" w:sz="0" w:space="0"/>
              </w:rPr>
              <w:t>.</w:t>
            </w:r>
            <w:r>
              <w:rPr>
                <w:rFonts w:hint="eastAsia" w:ascii="宋体" w:hAnsi="宋体" w:eastAsia="宋体" w:cs="宋体"/>
                <w:color w:val="333333"/>
                <w:sz w:val="21"/>
                <w:szCs w:val="21"/>
                <w:bdr w:val="none" w:color="auto" w:sz="0" w:space="0"/>
              </w:rPr>
              <w:t>熟练使用</w:t>
            </w:r>
            <w:r>
              <w:rPr>
                <w:rFonts w:hint="default" w:ascii="Calibri" w:hAnsi="Calibri" w:cs="Calibri"/>
                <w:color w:val="333333"/>
                <w:sz w:val="21"/>
                <w:szCs w:val="21"/>
                <w:bdr w:val="none" w:color="auto" w:sz="0" w:space="0"/>
              </w:rPr>
              <w:t>OFFICE</w:t>
            </w:r>
            <w:r>
              <w:rPr>
                <w:rFonts w:hint="eastAsia" w:ascii="宋体" w:hAnsi="宋体" w:eastAsia="宋体" w:cs="宋体"/>
                <w:color w:val="333333"/>
                <w:sz w:val="21"/>
                <w:szCs w:val="21"/>
                <w:bdr w:val="none" w:color="auto" w:sz="0" w:space="0"/>
              </w:rPr>
              <w:t>、</w:t>
            </w:r>
            <w:r>
              <w:rPr>
                <w:color w:val="333333"/>
                <w:sz w:val="21"/>
                <w:szCs w:val="21"/>
                <w:bdr w:val="none" w:color="auto" w:sz="0" w:space="0"/>
              </w:rPr>
              <w:t>PS</w:t>
            </w:r>
            <w:r>
              <w:rPr>
                <w:rFonts w:hint="eastAsia" w:ascii="宋体" w:hAnsi="宋体" w:eastAsia="宋体" w:cs="宋体"/>
                <w:color w:val="333333"/>
                <w:sz w:val="21"/>
                <w:szCs w:val="21"/>
                <w:bdr w:val="none" w:color="auto" w:sz="0" w:space="0"/>
              </w:rPr>
              <w:t>等办公软件；</w:t>
            </w:r>
          </w:p>
          <w:p>
            <w:pPr>
              <w:pStyle w:val="2"/>
              <w:keepNext w:val="0"/>
              <w:keepLines w:val="0"/>
              <w:widowControl/>
              <w:suppressLineNumbers w:val="0"/>
              <w:spacing w:line="450" w:lineRule="atLeast"/>
              <w:rPr>
                <w:sz w:val="21"/>
                <w:szCs w:val="21"/>
              </w:rPr>
            </w:pPr>
            <w:r>
              <w:rPr>
                <w:color w:val="333333"/>
                <w:sz w:val="21"/>
                <w:szCs w:val="21"/>
                <w:bdr w:val="none" w:color="auto" w:sz="0" w:space="0"/>
              </w:rPr>
              <w:t>3</w:t>
            </w:r>
            <w:r>
              <w:rPr>
                <w:rFonts w:hint="default" w:ascii="Calibri" w:hAnsi="Calibri" w:cs="Calibri"/>
                <w:color w:val="333333"/>
                <w:sz w:val="21"/>
                <w:szCs w:val="21"/>
                <w:bdr w:val="none" w:color="auto" w:sz="0" w:space="0"/>
              </w:rPr>
              <w:t>.</w:t>
            </w:r>
            <w:r>
              <w:rPr>
                <w:rFonts w:hint="eastAsia" w:ascii="宋体" w:hAnsi="宋体" w:eastAsia="宋体" w:cs="宋体"/>
                <w:color w:val="333333"/>
                <w:sz w:val="21"/>
                <w:szCs w:val="21"/>
                <w:bdr w:val="none" w:color="auto" w:sz="0" w:space="0"/>
              </w:rPr>
              <w:t>具备一定的组织能力、协调能力以及较强的沟通能力；</w:t>
            </w:r>
          </w:p>
          <w:p>
            <w:pPr>
              <w:pStyle w:val="2"/>
              <w:keepNext w:val="0"/>
              <w:keepLines w:val="0"/>
              <w:widowControl/>
              <w:suppressLineNumbers w:val="0"/>
              <w:spacing w:line="450" w:lineRule="atLeast"/>
              <w:rPr>
                <w:sz w:val="21"/>
                <w:szCs w:val="21"/>
              </w:rPr>
            </w:pPr>
            <w:r>
              <w:rPr>
                <w:color w:val="333333"/>
                <w:sz w:val="21"/>
                <w:szCs w:val="21"/>
                <w:bdr w:val="none" w:color="auto" w:sz="0" w:space="0"/>
              </w:rPr>
              <w:t>4</w:t>
            </w:r>
            <w:r>
              <w:rPr>
                <w:rFonts w:hint="default" w:ascii="Calibri" w:hAnsi="Calibri" w:cs="Calibri"/>
                <w:color w:val="333333"/>
                <w:sz w:val="21"/>
                <w:szCs w:val="21"/>
                <w:bdr w:val="none" w:color="auto" w:sz="0" w:space="0"/>
              </w:rPr>
              <w:t>.</w:t>
            </w:r>
            <w:r>
              <w:rPr>
                <w:rFonts w:hint="eastAsia" w:ascii="宋体" w:hAnsi="宋体" w:eastAsia="宋体" w:cs="宋体"/>
                <w:color w:val="333333"/>
                <w:sz w:val="21"/>
                <w:szCs w:val="21"/>
                <w:bdr w:val="none" w:color="auto" w:sz="0" w:space="0"/>
              </w:rPr>
              <w:t>能够按照公文格式起草各类文件；</w:t>
            </w:r>
          </w:p>
          <w:p>
            <w:pPr>
              <w:pStyle w:val="2"/>
              <w:keepNext w:val="0"/>
              <w:keepLines w:val="0"/>
              <w:widowControl/>
              <w:suppressLineNumbers w:val="0"/>
              <w:spacing w:line="450" w:lineRule="atLeast"/>
              <w:rPr>
                <w:sz w:val="21"/>
                <w:szCs w:val="21"/>
              </w:rPr>
            </w:pPr>
            <w:r>
              <w:rPr>
                <w:color w:val="333333"/>
                <w:sz w:val="21"/>
                <w:szCs w:val="21"/>
                <w:bdr w:val="none" w:color="auto" w:sz="0" w:space="0"/>
              </w:rPr>
              <w:t>5</w:t>
            </w:r>
            <w:r>
              <w:rPr>
                <w:rFonts w:hint="default" w:ascii="Calibri" w:hAnsi="Calibri" w:cs="Calibri"/>
                <w:color w:val="333333"/>
                <w:sz w:val="21"/>
                <w:szCs w:val="21"/>
                <w:bdr w:val="none" w:color="auto" w:sz="0" w:space="0"/>
              </w:rPr>
              <w:t>.</w:t>
            </w:r>
            <w:r>
              <w:rPr>
                <w:rFonts w:hint="eastAsia" w:ascii="宋体" w:hAnsi="宋体" w:eastAsia="宋体" w:cs="宋体"/>
                <w:color w:val="333333"/>
                <w:sz w:val="21"/>
                <w:szCs w:val="21"/>
                <w:bdr w:val="none" w:color="auto" w:sz="0" w:space="0"/>
              </w:rPr>
              <w:t>具有较强的服务意识和团队协作精神</w:t>
            </w:r>
            <w:r>
              <w:rPr>
                <w:color w:val="333333"/>
                <w:sz w:val="21"/>
                <w:szCs w:val="21"/>
                <w:bdr w:val="none" w:color="auto" w:sz="0" w:space="0"/>
              </w:rPr>
              <w:t>;</w:t>
            </w:r>
          </w:p>
          <w:p>
            <w:pPr>
              <w:pStyle w:val="2"/>
              <w:keepNext w:val="0"/>
              <w:keepLines w:val="0"/>
              <w:widowControl/>
              <w:suppressLineNumbers w:val="0"/>
              <w:spacing w:line="405" w:lineRule="atLeast"/>
              <w:rPr>
                <w:sz w:val="21"/>
                <w:szCs w:val="21"/>
              </w:rPr>
            </w:pPr>
            <w:r>
              <w:rPr>
                <w:color w:val="333333"/>
                <w:sz w:val="21"/>
                <w:szCs w:val="21"/>
                <w:bdr w:val="none" w:color="auto" w:sz="0" w:space="0"/>
              </w:rPr>
              <w:t>6</w:t>
            </w:r>
            <w:r>
              <w:rPr>
                <w:rFonts w:hint="default" w:ascii="Calibri" w:hAnsi="Calibri" w:cs="Calibri"/>
                <w:color w:val="333333"/>
                <w:sz w:val="21"/>
                <w:szCs w:val="21"/>
                <w:bdr w:val="none" w:color="auto" w:sz="0" w:space="0"/>
              </w:rPr>
              <w:t>.</w:t>
            </w:r>
            <w:r>
              <w:rPr>
                <w:rFonts w:hint="eastAsia" w:ascii="宋体" w:hAnsi="宋体" w:eastAsia="宋体" w:cs="宋体"/>
                <w:color w:val="333333"/>
                <w:sz w:val="21"/>
                <w:szCs w:val="21"/>
                <w:bdr w:val="none" w:color="auto" w:sz="0" w:space="0"/>
              </w:rPr>
              <w:t>具有良好的工作态度，能吃苦耐劳，有较强的责任心，能够接受一定的工作压力。</w:t>
            </w:r>
          </w:p>
        </w:tc>
        <w:tc>
          <w:tcPr>
            <w:tcW w:w="768" w:type="dxa"/>
            <w:shd w:val="clear"/>
            <w:tcMar>
              <w:top w:w="0" w:type="dxa"/>
              <w:left w:w="105" w:type="dxa"/>
              <w:bottom w:w="0" w:type="dxa"/>
              <w:right w:w="105" w:type="dxa"/>
            </w:tcMar>
            <w:vAlign w:val="center"/>
          </w:tcPr>
          <w:p>
            <w:pPr>
              <w:pStyle w:val="2"/>
              <w:keepNext w:val="0"/>
              <w:keepLines w:val="0"/>
              <w:widowControl/>
              <w:suppressLineNumbers w:val="0"/>
              <w:spacing w:line="405" w:lineRule="atLeast"/>
              <w:jc w:val="center"/>
              <w:rPr>
                <w:sz w:val="21"/>
                <w:szCs w:val="21"/>
              </w:rPr>
            </w:pPr>
            <w:r>
              <w:rPr>
                <w:rFonts w:hint="default" w:ascii="Calibri" w:hAnsi="Calibri" w:cs="Calibri"/>
                <w:color w:val="333333"/>
                <w:sz w:val="21"/>
                <w:szCs w:val="21"/>
                <w:bdr w:val="none" w:color="auto" w:sz="0" w:space="0"/>
              </w:rPr>
              <w:t>1</w:t>
            </w:r>
          </w:p>
        </w:tc>
      </w:tr>
    </w:tbl>
    <w:p>
      <w:pPr>
        <w:pStyle w:val="2"/>
        <w:keepNext w:val="0"/>
        <w:keepLines w:val="0"/>
        <w:widowControl/>
        <w:suppressLineNumbers w:val="0"/>
        <w:shd w:val="clear" w:fill="FFFFFF"/>
        <w:spacing w:before="182" w:beforeAutospacing="0" w:after="106" w:afterAutospacing="0" w:line="555" w:lineRule="atLeast"/>
        <w:ind w:right="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6581B"/>
    <w:rsid w:val="54B658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6699"/>
      <w:u w:val="single"/>
    </w:rPr>
  </w:style>
  <w:style w:type="character" w:styleId="6">
    <w:name w:val="Hyperlink"/>
    <w:basedOn w:val="3"/>
    <w:uiPriority w:val="0"/>
    <w:rPr>
      <w:color w:val="336699"/>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2019-02-22T09:15:00Z</dcterms:created>
  <dc:creator>天空</dc:creator>
  <cp:lastModifiedBy>天空</cp:lastModifiedBy>
  <dcterms:modified xsi:type="dcterms:W3CDTF">2019-02-22T09:15:57Z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