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755" w:type="dxa"/>
        <w:jc w:val="center"/>
        <w:tblInd w:w="-1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
      <w:tblGrid>
        <w:gridCol w:w="841"/>
        <w:gridCol w:w="481"/>
        <w:gridCol w:w="376"/>
        <w:gridCol w:w="933"/>
        <w:gridCol w:w="542"/>
        <w:gridCol w:w="3535"/>
        <w:gridCol w:w="677"/>
        <w:gridCol w:w="1655"/>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gridAfter w:val="8"/>
          <w:wAfter w:w="9914" w:type="dxa"/>
          <w:trHeight w:val="882" w:hRule="atLeast"/>
          <w:jc w:val="center"/>
        </w:trPr>
        <w:tc>
          <w:tcPr>
            <w:tcW w:w="841" w:type="dxa"/>
            <w:shd w:val="clear" w:color="auto" w:fill="FDFEF0"/>
            <w:vAlign w:val="center"/>
          </w:tcPr>
          <w:p>
            <w:pPr>
              <w:rPr>
                <w:rFonts w:hint="eastAsia" w:ascii="宋体" w:hAnsi="宋体" w:eastAsia="宋体" w:cs="宋体"/>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345" w:hRule="atLeast"/>
          <w:jc w:val="center"/>
        </w:trPr>
        <w:tc>
          <w:tcPr>
            <w:tcW w:w="84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附 件：</w:t>
            </w: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585" w:hRule="atLeast"/>
          <w:jc w:val="center"/>
        </w:trPr>
        <w:tc>
          <w:tcPr>
            <w:tcW w:w="10755" w:type="dxa"/>
            <w:gridSpan w:val="9"/>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bookmarkStart w:id="0" w:name="_GoBack"/>
            <w:r>
              <w:rPr>
                <w:rFonts w:hint="eastAsia" w:ascii="宋体" w:hAnsi="宋体" w:eastAsia="宋体" w:cs="宋体"/>
                <w:i w:val="0"/>
                <w:caps w:val="0"/>
                <w:color w:val="333333"/>
                <w:spacing w:val="0"/>
                <w:kern w:val="0"/>
                <w:sz w:val="18"/>
                <w:szCs w:val="18"/>
                <w:bdr w:val="none" w:color="auto" w:sz="0" w:space="0"/>
                <w:lang w:val="en-US" w:eastAsia="zh-CN" w:bidi="ar"/>
              </w:rPr>
              <w:t>2019年汤阴县公开招聘纪委监委派驻机构工作人员岗位表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372" w:hRule="atLeast"/>
          <w:jc w:val="center"/>
        </w:trPr>
        <w:tc>
          <w:tcPr>
            <w:tcW w:w="841" w:type="dxa"/>
            <w:vMerge w:val="restart"/>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招聘单位</w:t>
            </w:r>
          </w:p>
        </w:tc>
        <w:tc>
          <w:tcPr>
            <w:tcW w:w="481" w:type="dxa"/>
            <w:vMerge w:val="restart"/>
            <w:tcBorders>
              <w:top w:val="single" w:color="auto" w:sz="6" w:space="0"/>
              <w:left w:val="single" w:color="auto" w:sz="6" w:space="0"/>
              <w:bottom w:val="single" w:color="000000"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岗位代码</w:t>
            </w:r>
          </w:p>
        </w:tc>
        <w:tc>
          <w:tcPr>
            <w:tcW w:w="376" w:type="dxa"/>
            <w:vMerge w:val="restart"/>
            <w:tcBorders>
              <w:top w:val="single" w:color="auto" w:sz="6" w:space="0"/>
              <w:left w:val="single" w:color="auto" w:sz="6" w:space="0"/>
              <w:bottom w:val="single" w:color="000000"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单位性质</w:t>
            </w:r>
          </w:p>
        </w:tc>
        <w:tc>
          <w:tcPr>
            <w:tcW w:w="933" w:type="dxa"/>
            <w:vMerge w:val="restart"/>
            <w:tcBorders>
              <w:top w:val="single" w:color="auto" w:sz="6" w:space="0"/>
              <w:left w:val="single" w:color="auto" w:sz="6" w:space="0"/>
              <w:bottom w:val="single" w:color="000000"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招聘岗位</w:t>
            </w:r>
          </w:p>
        </w:tc>
        <w:tc>
          <w:tcPr>
            <w:tcW w:w="542" w:type="dxa"/>
            <w:vMerge w:val="restart"/>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拟招</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人数</w:t>
            </w:r>
          </w:p>
        </w:tc>
        <w:tc>
          <w:tcPr>
            <w:tcW w:w="5867" w:type="dxa"/>
            <w:gridSpan w:val="3"/>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资格条件</w:t>
            </w:r>
          </w:p>
        </w:tc>
        <w:tc>
          <w:tcPr>
            <w:tcW w:w="1715" w:type="dxa"/>
            <w:vMerge w:val="restart"/>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360" w:hRule="atLeast"/>
          <w:jc w:val="center"/>
        </w:trPr>
        <w:tc>
          <w:tcPr>
            <w:tcW w:w="841" w:type="dxa"/>
            <w:vMerge w:val="continue"/>
            <w:tcBorders>
              <w:top w:val="single" w:color="auto" w:sz="6" w:space="0"/>
              <w:left w:val="single" w:color="auto" w:sz="6" w:space="0"/>
              <w:bottom w:val="single" w:color="auto"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481"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376"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933"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542" w:type="dxa"/>
            <w:vMerge w:val="continue"/>
            <w:tcBorders>
              <w:top w:val="single" w:color="auto" w:sz="6" w:space="0"/>
              <w:left w:val="single" w:color="auto" w:sz="6" w:space="0"/>
              <w:bottom w:val="single" w:color="auto"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招聘专业</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学历</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其他条件</w:t>
            </w:r>
          </w:p>
        </w:tc>
        <w:tc>
          <w:tcPr>
            <w:tcW w:w="1715" w:type="dxa"/>
            <w:vMerge w:val="continue"/>
            <w:tcBorders>
              <w:top w:val="single" w:color="auto" w:sz="6" w:space="0"/>
              <w:left w:val="single" w:color="auto" w:sz="6" w:space="0"/>
              <w:bottom w:val="single" w:color="auto"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1939" w:hRule="atLeast"/>
          <w:jc w:val="center"/>
        </w:trPr>
        <w:tc>
          <w:tcPr>
            <w:tcW w:w="841" w:type="dxa"/>
            <w:vMerge w:val="restart"/>
            <w:tcBorders>
              <w:top w:val="single" w:color="auto" w:sz="6" w:space="0"/>
              <w:left w:val="single" w:color="auto" w:sz="6" w:space="0"/>
              <w:bottom w:val="single" w:color="000000"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县纪委监委派驻机构</w:t>
            </w: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0101</w:t>
            </w: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事业</w:t>
            </w: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（九级职员）</w:t>
            </w: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6</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法律、法学、诉讼法、刑事司法、法律事务、经济法学、民法学、刑事诉讼法学、行政诉讼法学、法理学、刑法学、诉讼法学</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普招全日制本科及以上</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通过国家法律职业资格考试获得法律职业资格证书的人员不受本岗位招聘专业限制</w:t>
            </w: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户籍地或生源地为河南省范围内（户籍须于2019年1月1日前迁入）</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本岗位经常在外出差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1920" w:hRule="atLeast"/>
          <w:jc w:val="center"/>
        </w:trPr>
        <w:tc>
          <w:tcPr>
            <w:tcW w:w="841"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0102</w:t>
            </w: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事业</w:t>
            </w: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（九级职员）</w:t>
            </w: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5</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会计、会计学、财务管理、财务会计、财务会计教育、注册会计师、会计与统计核算、财会、工业会计、企业会计、企业财务管理、会计硕士专业、审计、审计学、审计实务、审计理论研究、政府审计理论与实务、内部控制与内部审计、独立审计与实务</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普招全日制本科及以上</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获得中级及以上会计从业资格证书的人员不受本岗位招聘专业限制</w:t>
            </w: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户籍地或生源地为河南省范围内（户籍须于2019年1月1日前迁入）</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本岗位经常在外出差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1962" w:hRule="atLeast"/>
          <w:jc w:val="center"/>
        </w:trPr>
        <w:tc>
          <w:tcPr>
            <w:tcW w:w="841"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0103</w:t>
            </w: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事业</w:t>
            </w: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（九级职员）</w:t>
            </w: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4</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汉语言文学、汉语言、语言学、编辑学、汉语言文学教育、中国语言文学、中文应用、文学、中国文学、汉语言文学与文化传播、广播电视编导、秘书学、文秘、文秘学、中文秘书教育、现代秘书、中文、文艺学、语言学及应用语言学、汉语言文字学、中国古代文学、中国现当代文学、文学阅读与文学教育</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普招全日制本科及以上</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户籍地或生源地为河南省范围内（户籍须于2019年1月1日前迁入）</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本岗位经常在外出差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2022" w:hRule="atLeast"/>
          <w:jc w:val="center"/>
        </w:trPr>
        <w:tc>
          <w:tcPr>
            <w:tcW w:w="841"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0104</w:t>
            </w: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事业</w:t>
            </w: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（九级职员）</w:t>
            </w: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2</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计算机科学技术、计算机科学与技术、计算机网络技术、计算机网络工程、计算机网络技术工程、网络技术、网络工程、计算机通信、计算机通讯、信息与计算机科学、计算机系统维护、软件工程、计算机网络、计算机及应用、计算机信息管理、计算机与信息管理、计算机信息应用、计算机软件与理论、信息管理与信息系统、计算机系统结构、计算机软件与理论、计算机应用技术、计算机技术、应用软件工程</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普招全日制本科及以上</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户籍地或生源地为河南省范围内（户籍须于2019年1月1日前迁入）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1999" w:hRule="atLeast"/>
          <w:jc w:val="center"/>
        </w:trPr>
        <w:tc>
          <w:tcPr>
            <w:tcW w:w="841"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0105</w:t>
            </w: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事业</w:t>
            </w: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（九级职员）</w:t>
            </w: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2</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行政管理、公共事业管理、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劳动与社会保障、人力资源管理、工商管理</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普招全日制本科及以上</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户籍地或生源地为河南省范围内（户籍须于2019年1月1日前迁入）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1920" w:hRule="atLeast"/>
          <w:jc w:val="center"/>
        </w:trPr>
        <w:tc>
          <w:tcPr>
            <w:tcW w:w="841" w:type="dxa"/>
            <w:vMerge w:val="continue"/>
            <w:tcBorders>
              <w:top w:val="single" w:color="auto" w:sz="6" w:space="0"/>
              <w:left w:val="single" w:color="auto" w:sz="6" w:space="0"/>
              <w:bottom w:val="single" w:color="000000" w:sz="6" w:space="0"/>
              <w:right w:val="single" w:color="auto" w:sz="6" w:space="0"/>
            </w:tcBorders>
            <w:shd w:val="clear" w:color="auto" w:fill="FDFEF0"/>
            <w:vAlign w:val="center"/>
          </w:tcPr>
          <w:p>
            <w:pPr>
              <w:jc w:val="center"/>
              <w:rPr>
                <w:rFonts w:hint="eastAsia" w:ascii="宋体" w:hAnsi="宋体" w:eastAsia="宋体" w:cs="宋体"/>
                <w:i w:val="0"/>
                <w:caps w:val="0"/>
                <w:color w:val="333333"/>
                <w:spacing w:val="0"/>
                <w:sz w:val="18"/>
                <w:szCs w:val="18"/>
              </w:rPr>
            </w:pP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0106</w:t>
            </w: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事业</w:t>
            </w: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管理</w:t>
            </w:r>
            <w:r>
              <w:rPr>
                <w:rFonts w:hint="eastAsia" w:ascii="宋体" w:hAnsi="宋体" w:eastAsia="宋体" w:cs="宋体"/>
                <w:i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caps w:val="0"/>
                <w:color w:val="333333"/>
                <w:spacing w:val="0"/>
                <w:kern w:val="0"/>
                <w:sz w:val="18"/>
                <w:szCs w:val="18"/>
                <w:bdr w:val="none" w:color="auto" w:sz="0" w:space="0"/>
                <w:lang w:val="en-US" w:eastAsia="zh-CN" w:bidi="ar"/>
              </w:rPr>
              <w:t>（九级职员）</w:t>
            </w: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5</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专业不限</w:t>
            </w: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普招全日制本科及以上</w:t>
            </w: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71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户籍地或生源地为河南省范围内（户籍须于2019年1月1日前迁入）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fixed"/>
          <w:tblCellMar>
            <w:top w:w="0" w:type="dxa"/>
            <w:left w:w="0" w:type="dxa"/>
            <w:bottom w:w="0" w:type="dxa"/>
            <w:right w:w="0" w:type="dxa"/>
          </w:tblCellMar>
        </w:tblPrEx>
        <w:trPr>
          <w:trHeight w:val="660" w:hRule="atLeast"/>
          <w:jc w:val="center"/>
        </w:trPr>
        <w:tc>
          <w:tcPr>
            <w:tcW w:w="84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合计</w:t>
            </w:r>
          </w:p>
        </w:tc>
        <w:tc>
          <w:tcPr>
            <w:tcW w:w="481"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376"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933"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542"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24</w:t>
            </w:r>
          </w:p>
        </w:tc>
        <w:tc>
          <w:tcPr>
            <w:tcW w:w="353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677"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655" w:type="dxa"/>
            <w:tcBorders>
              <w:top w:val="single" w:color="auto" w:sz="6" w:space="0"/>
              <w:left w:val="single" w:color="auto" w:sz="6" w:space="0"/>
              <w:bottom w:val="single" w:color="auto" w:sz="6" w:space="0"/>
              <w:right w:val="single" w:color="auto" w:sz="6" w:space="0"/>
            </w:tcBorders>
            <w:shd w:val="clear" w:color="auto" w:fill="FDFEF0"/>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p>
        </w:tc>
        <w:tc>
          <w:tcPr>
            <w:tcW w:w="1715" w:type="dxa"/>
            <w:shd w:val="clear" w:color="auto" w:fill="FDFEF0"/>
            <w:vAlign w:val="center"/>
          </w:tcPr>
          <w:p>
            <w:pPr>
              <w:rPr>
                <w:rFonts w:hint="eastAsia" w:ascii="宋体" w:hAnsi="宋体" w:eastAsia="宋体" w:cs="宋体"/>
                <w:i w:val="0"/>
                <w:caps w:val="0"/>
                <w:color w:val="333333"/>
                <w:spacing w:val="0"/>
                <w:sz w:val="18"/>
                <w:szCs w:val="18"/>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03307"/>
    <w:rsid w:val="60B0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2019-04-25T09:19:00Z</dcterms:created>
  <dc:creator>Administrator</dc:creator>
  <cp:lastModifiedBy>Administrator</cp:lastModifiedBy>
  <dcterms:modified xsi:type="dcterms:W3CDTF">2019-04-25T09:20:02Z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