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0"/>
          <w:szCs w:val="20"/>
          <w:bdr w:val="none" w:color="auto" w:sz="0" w:space="0"/>
          <w:shd w:val="clear" w:fill="FFFFFF"/>
        </w:rPr>
        <w:t>2018年惠民县事业单位公开招聘拟聘用人员名单（七）</w:t>
      </w:r>
    </w:p>
    <w:tbl>
      <w:tblPr>
        <w:tblW w:w="8522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757"/>
        <w:gridCol w:w="1036"/>
        <w:gridCol w:w="757"/>
        <w:gridCol w:w="757"/>
        <w:gridCol w:w="1501"/>
        <w:gridCol w:w="926"/>
        <w:gridCol w:w="1015"/>
        <w:gridCol w:w="1016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tblCellSpacing w:w="0" w:type="dxa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笔试准考证号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tblCellSpacing w:w="0" w:type="dxa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惠民县教育和体育局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镇小学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G026-小学美术教师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刘长虹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1823540527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B427D"/>
    <w:rsid w:val="39CB4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2019-05-14T03:38:00Z</dcterms:created>
  <dc:creator>ASUS</dc:creator>
  <cp:lastModifiedBy>ASUS</cp:lastModifiedBy>
  <dcterms:modified xsi:type="dcterms:W3CDTF">2019-05-14T03:38:24Z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