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附件4：研究生专业目录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（一）化学类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化学，无机化学，分析化学，有机化学，物理化学，高分子化学与物理，材料化学，化学生物学，环境化学，电化学，催化化学，物构化学，农药学，材料物流与化学，放射化学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化工与制药类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化学工程，化学工艺，生物化工，应用化学，工业催化，制药工程，化学工程与技术，环境技术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（三）</w:t>
      </w:r>
      <w:r>
        <w:rPr>
          <w:rFonts w:hint="eastAsia"/>
        </w:rPr>
        <w:t>机械类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机械制造及自动化，机械电子工程，机械设计及理论，车辆工程，机械工程，高级制造技术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管理科学与工程类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管理科学与工程，项目管理等工程硕士专业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工商管理类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电子信息类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物理电子学，电路与系统，微电子学与固体电子学，电磁场与微波技术，通信与信息系统，信号与信息处理，电子与通信工程，无线电物流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计算机类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计算机系统结构，计算机软件与理论，计算机应用技术，计算机科学与技术，软件工程，计算机与信息管理，计算机技术，应用软件工程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（八）</w:t>
      </w:r>
      <w:r>
        <w:rPr>
          <w:rFonts w:hint="eastAsia"/>
        </w:rPr>
        <w:t>材料类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eastAsia="zh-CN"/>
        </w:rPr>
        <w:t>九</w:t>
      </w:r>
      <w:r>
        <w:rPr>
          <w:rFonts w:hint="eastAsia"/>
        </w:rPr>
        <w:t>）土木类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</w:pPr>
      <w:r>
        <w:rPr>
          <w:rFonts w:hint="eastAsia"/>
        </w:rPr>
        <w:t>岩土工程，结构工程，市政工程，供热、供燃气、通风及空调工程，防灾减灾工程及防护工程，桥梁与隧道工程，建筑与土木工程，给排水工程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C4EB5"/>
    <w:multiLevelType w:val="singleLevel"/>
    <w:tmpl w:val="427C4EB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25B98DE"/>
    <w:multiLevelType w:val="singleLevel"/>
    <w:tmpl w:val="625B98D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45016"/>
    <w:rsid w:val="174441AA"/>
    <w:rsid w:val="319D3F8D"/>
    <w:rsid w:val="53545016"/>
    <w:rsid w:val="64083AF2"/>
    <w:rsid w:val="6CB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2019-06-04T09:54:00Z</dcterms:created>
  <dc:creator>Mrs.Happy</dc:creator>
  <cp:lastModifiedBy>Mrs.Happy</cp:lastModifiedBy>
  <dcterms:modified xsi:type="dcterms:W3CDTF">2019-06-05T07:55:52Z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