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</w:rPr>
        <w:t>2019年度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bdr w:val="none" w:color="auto" w:sz="0" w:space="0"/>
        </w:rPr>
        <w:t>中国知识产权报社拟聘用人员公示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BBDBF" w:sz="4" w:space="0"/>
          <w:right w:val="none" w:color="auto" w:sz="0" w:space="0"/>
        </w:pBdr>
        <w:spacing w:before="0" w:beforeAutospacing="0" w:after="0" w:afterAutospacing="0" w:line="526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6D6E71"/>
          <w:spacing w:val="0"/>
          <w:sz w:val="15"/>
          <w:szCs w:val="15"/>
        </w:rPr>
      </w:pPr>
    </w:p>
    <w:tbl>
      <w:tblPr>
        <w:tblW w:w="8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276"/>
        <w:gridCol w:w="708"/>
        <w:gridCol w:w="1418"/>
        <w:gridCol w:w="2693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马梦婕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中国政法大学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崔艺璇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  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叶云彤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  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邵京京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香港中文大学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  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中原工学院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  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王墨笛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赵俊翔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  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河北地质大学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赵瑞科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  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山东政法学院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王絮蒙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东北财经大学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赵家明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德国哥廷根大学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  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  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杜楠桐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墨尔本大学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舆情分析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席志远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  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APP运营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58FF"/>
    <w:rsid w:val="35D35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2019-06-13T03:04:00Z</dcterms:created>
  <dc:creator>ASUS</dc:creator>
  <cp:lastModifiedBy>ASUS</cp:lastModifiedBy>
  <dcterms:modified xsi:type="dcterms:W3CDTF">2019-06-13T03:05:10Z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