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2C0" w:rsidRDefault="00764391">
      <w:pPr>
        <w:pStyle w:val="A3"/>
        <w:adjustRightInd w:val="0"/>
        <w:snapToGrid w:val="0"/>
        <w:spacing w:line="460" w:lineRule="exact"/>
        <w:ind w:firstLineChars="0" w:firstLine="0"/>
        <w:rPr>
          <w:rFonts w:ascii="黑体" w:hAnsi="黑体" w:hint="eastAsia"/>
          <w:sz w:val="28"/>
          <w:szCs w:val="28"/>
        </w:rPr>
      </w:pPr>
      <w:r>
        <w:rPr>
          <w:rFonts w:ascii="黑体" w:hAnsi="黑体" w:hint="eastAsia"/>
          <w:sz w:val="28"/>
          <w:szCs w:val="28"/>
        </w:rPr>
        <w:t>附件1：</w:t>
      </w:r>
    </w:p>
    <w:p w:rsidR="007A32C0" w:rsidRDefault="002369D7" w:rsidP="00764391">
      <w:pPr>
        <w:pStyle w:val="A3"/>
        <w:adjustRightInd w:val="0"/>
        <w:snapToGrid w:val="0"/>
        <w:spacing w:line="460" w:lineRule="exact"/>
        <w:ind w:firstLine="883"/>
        <w:jc w:val="center"/>
        <w:rPr>
          <w:rFonts w:ascii="黑体" w:hAnsi="黑体" w:hint="eastAsia"/>
          <w:b/>
          <w:sz w:val="44"/>
          <w:szCs w:val="44"/>
        </w:rPr>
      </w:pPr>
      <w:r>
        <w:rPr>
          <w:rFonts w:ascii="黑体" w:hAnsi="黑体" w:hint="eastAsia"/>
          <w:b/>
          <w:sz w:val="44"/>
          <w:szCs w:val="44"/>
        </w:rPr>
        <w:t>乐山市</w:t>
      </w:r>
      <w:r w:rsidR="007A32C0" w:rsidRPr="00764391">
        <w:rPr>
          <w:rFonts w:ascii="黑体" w:hAnsi="黑体" w:hint="eastAsia"/>
          <w:b/>
          <w:sz w:val="44"/>
          <w:szCs w:val="44"/>
        </w:rPr>
        <w:t>市中区</w:t>
      </w:r>
      <w:r w:rsidR="00764391" w:rsidRPr="00764391">
        <w:rPr>
          <w:rFonts w:ascii="黑体" w:hAnsi="黑体" w:hint="eastAsia"/>
          <w:b/>
          <w:sz w:val="44"/>
          <w:szCs w:val="44"/>
        </w:rPr>
        <w:t>简介</w:t>
      </w:r>
    </w:p>
    <w:p w:rsidR="00764391" w:rsidRPr="00764391" w:rsidRDefault="00764391" w:rsidP="00764391">
      <w:pPr>
        <w:pStyle w:val="A3"/>
        <w:adjustRightInd w:val="0"/>
        <w:snapToGrid w:val="0"/>
        <w:spacing w:line="460" w:lineRule="exact"/>
        <w:ind w:firstLine="883"/>
        <w:jc w:val="center"/>
        <w:rPr>
          <w:rFonts w:ascii="黑体" w:hAnsi="黑体" w:hint="eastAsia"/>
          <w:b/>
          <w:sz w:val="44"/>
          <w:szCs w:val="44"/>
        </w:rPr>
      </w:pPr>
    </w:p>
    <w:p w:rsidR="007A32C0" w:rsidRDefault="007A32C0">
      <w:pPr>
        <w:pStyle w:val="A3"/>
        <w:adjustRightInd w:val="0"/>
        <w:snapToGrid w:val="0"/>
        <w:spacing w:line="460" w:lineRule="exact"/>
        <w:ind w:firstLine="560"/>
        <w:rPr>
          <w:rFonts w:ascii="仿宋_GB2312" w:eastAsia="仿宋_GB2312" w:hAnsi="仿宋" w:hint="eastAsia"/>
          <w:color w:val="000000"/>
          <w:sz w:val="28"/>
          <w:szCs w:val="28"/>
        </w:rPr>
      </w:pPr>
      <w:r>
        <w:rPr>
          <w:rFonts w:ascii="仿宋_GB2312" w:eastAsia="仿宋_GB2312" w:hAnsi="仿宋" w:hint="eastAsia"/>
          <w:color w:val="000000"/>
          <w:sz w:val="28"/>
          <w:szCs w:val="28"/>
        </w:rPr>
        <w:t>市中区是乐山市政治、经济、文化和信息中心，古称嘉州，得名取于“郡土嘉美”之意，历史悠久、底蕴深厚，距今已有二千三百多年历史。全区面积837平方公里，辖25个乡镇（其中安谷镇、车子镇由乐山高新区代管），7个街道办事处，196个行政村、58个社区，户籍人口63.7万人，常住人口80余万人。</w:t>
      </w:r>
    </w:p>
    <w:p w:rsidR="007A32C0" w:rsidRDefault="007A32C0" w:rsidP="00764391">
      <w:pPr>
        <w:pStyle w:val="A3"/>
        <w:adjustRightInd w:val="0"/>
        <w:snapToGrid w:val="0"/>
        <w:spacing w:line="460" w:lineRule="exact"/>
        <w:ind w:firstLine="560"/>
        <w:rPr>
          <w:rFonts w:ascii="仿宋_GB2312" w:eastAsia="仿宋_GB2312" w:hAnsi="仿宋" w:hint="eastAsia"/>
          <w:color w:val="000000"/>
          <w:sz w:val="28"/>
          <w:szCs w:val="28"/>
        </w:rPr>
      </w:pPr>
      <w:r>
        <w:rPr>
          <w:rFonts w:ascii="仿宋_GB2312" w:eastAsia="仿宋_GB2312" w:hAnsi="仿宋" w:hint="eastAsia"/>
          <w:b/>
          <w:color w:val="000000"/>
          <w:sz w:val="28"/>
          <w:szCs w:val="28"/>
        </w:rPr>
        <w:t>景城一体，文旅融合。</w:t>
      </w:r>
      <w:r>
        <w:rPr>
          <w:rFonts w:ascii="仿宋_GB2312" w:eastAsia="仿宋_GB2312" w:hAnsi="仿宋" w:hint="eastAsia"/>
          <w:color w:val="000000"/>
          <w:sz w:val="28"/>
          <w:szCs w:val="28"/>
        </w:rPr>
        <w:t>市中区素有“天下之观在蜀，蜀之胜曰嘉州”的美誉，举世闻名的世界自然文化双遗产之一乐山大佛坐落我区，还拥有平羌小三峡、苏稽古镇、嘉州古城墙等丰富旅游资源，近年来先后成功创建为“四川省旅游强区”“四川省旅游标准化示范区”“四川省乡村旅游示范区”“省级旅游度假区”。两千多年的历史，让市中区形成了汇集三江文化、佛禅文化、古城文化、崖墓文化、美食文化、农耕文化的厚重文化底蕴，跷脚牛肉、甜皮鸭、钵钵鸡、米花糖等美食在国内颇具名气，舞龙、舞狮、蛋雕、宋笔等非物质文化遗产众多，为形成“一三互动、文旅交融”的发展格局奠定坚实基础。2018年，全区共接待国内外游客1434.69万人次，实现旅游综合收入315.31亿元，分别占全市总量的25.03%、35.35%。</w:t>
      </w:r>
    </w:p>
    <w:p w:rsidR="007A32C0" w:rsidRDefault="007A32C0" w:rsidP="00764391">
      <w:pPr>
        <w:pStyle w:val="A3"/>
        <w:adjustRightInd w:val="0"/>
        <w:snapToGrid w:val="0"/>
        <w:spacing w:line="460" w:lineRule="exact"/>
        <w:ind w:firstLine="560"/>
        <w:rPr>
          <w:rFonts w:ascii="仿宋_GB2312" w:eastAsia="仿宋_GB2312" w:hAnsi="仿宋" w:hint="eastAsia"/>
          <w:color w:val="000000"/>
          <w:sz w:val="28"/>
          <w:szCs w:val="28"/>
        </w:rPr>
      </w:pPr>
      <w:r>
        <w:rPr>
          <w:rFonts w:ascii="仿宋_GB2312" w:eastAsia="仿宋_GB2312" w:hAnsi="仿宋" w:hint="eastAsia"/>
          <w:b/>
          <w:color w:val="000000"/>
          <w:sz w:val="28"/>
          <w:szCs w:val="28"/>
        </w:rPr>
        <w:t>交通发达，区位独特。</w:t>
      </w:r>
      <w:r>
        <w:rPr>
          <w:rFonts w:ascii="仿宋_GB2312" w:eastAsia="仿宋_GB2312" w:hAnsi="仿宋" w:hint="eastAsia"/>
          <w:color w:val="000000"/>
          <w:sz w:val="28"/>
          <w:szCs w:val="28"/>
        </w:rPr>
        <w:t>成乐、乐雅、乐自、乐宜高速4条高速交汇市中区，成昆铁路横贯全境，成绵乐铁路客专的建成通车让市中区与成德绵核心区的联系更加紧密。拥有乐山港和500吨大件码头，可直达长江沿岸各大港口，是成都平原经济区重要的港口城市。随着乐西高速、成贵高铁、成昆铁路复线、连乐铁路、岷江港航电、乐山军民合用机场等重大交通项目的逐步建成，将形成通江达海、南北通畅、空水公铁无缝对接的立体交通网络。</w:t>
      </w:r>
    </w:p>
    <w:p w:rsidR="007A32C0" w:rsidRDefault="007A32C0" w:rsidP="00764391">
      <w:pPr>
        <w:pStyle w:val="A3"/>
        <w:adjustRightInd w:val="0"/>
        <w:snapToGrid w:val="0"/>
        <w:spacing w:line="460" w:lineRule="exact"/>
        <w:ind w:firstLine="560"/>
        <w:rPr>
          <w:rFonts w:ascii="仿宋_GB2312" w:eastAsia="仿宋_GB2312" w:hAnsi="仿宋" w:hint="eastAsia"/>
          <w:color w:val="000000"/>
          <w:sz w:val="28"/>
          <w:szCs w:val="28"/>
        </w:rPr>
      </w:pPr>
      <w:r>
        <w:rPr>
          <w:rFonts w:ascii="仿宋_GB2312" w:eastAsia="仿宋_GB2312" w:hAnsi="仿宋" w:hint="eastAsia"/>
          <w:b/>
          <w:color w:val="000000"/>
          <w:sz w:val="28"/>
          <w:szCs w:val="28"/>
        </w:rPr>
        <w:t>创新驱动，高质发展。</w:t>
      </w:r>
      <w:r>
        <w:rPr>
          <w:rFonts w:ascii="仿宋_GB2312" w:eastAsia="仿宋_GB2312" w:hAnsi="仿宋" w:hint="eastAsia"/>
          <w:color w:val="000000"/>
          <w:sz w:val="28"/>
          <w:szCs w:val="28"/>
        </w:rPr>
        <w:t>市中区创新要素、创新平台集聚，区境内银行机构达18家，是全省除成都以外金融机构数量最多的城市，区境内已建成省级以上实验室、技术中心10个，发展高新技术企业10户，2018年高新技术产业主营业务收入实现65亿元。2018年，市</w:t>
      </w:r>
      <w:r>
        <w:rPr>
          <w:rFonts w:ascii="仿宋_GB2312" w:eastAsia="仿宋_GB2312" w:hAnsi="仿宋" w:hint="eastAsia"/>
          <w:color w:val="000000"/>
          <w:sz w:val="28"/>
          <w:szCs w:val="28"/>
        </w:rPr>
        <w:lastRenderedPageBreak/>
        <w:t>中区三次产业结构比为6.08:35.15:58.77，第三产业占比分别较全市、全省、全国高13.8、7.4、6.8个百分点，第三产业对经济增长的贡献率达到68.9%，并成功申报为四川省服务业强县，第三产业已成为市中区推动经济发展的中坚力量。</w:t>
      </w:r>
    </w:p>
    <w:p w:rsidR="007A32C0" w:rsidRDefault="007A32C0">
      <w:pPr>
        <w:pStyle w:val="A3"/>
        <w:adjustRightInd w:val="0"/>
        <w:snapToGrid w:val="0"/>
        <w:spacing w:line="460" w:lineRule="exact"/>
        <w:ind w:firstLine="560"/>
        <w:rPr>
          <w:rFonts w:ascii="仿宋_GB2312" w:eastAsia="仿宋_GB2312" w:hAnsi="仿宋" w:hint="eastAsia"/>
          <w:color w:val="000000"/>
          <w:sz w:val="28"/>
          <w:szCs w:val="28"/>
        </w:rPr>
      </w:pPr>
      <w:r>
        <w:rPr>
          <w:rFonts w:ascii="仿宋_GB2312" w:eastAsia="仿宋_GB2312" w:hAnsi="仿宋" w:hint="eastAsia"/>
          <w:color w:val="000000"/>
          <w:sz w:val="28"/>
          <w:szCs w:val="28"/>
        </w:rPr>
        <w:t>2018年，全区地区生产总值完成350.2亿元，增长8.2%；规上工业增加值增长7.6%；全社会固定资产投资完成240.1亿元，增长8.7%；地方一般公共预算收入完成12.5亿元，增长1.1%；社会消费品零售总额完成172.3亿元，增长12%；城镇居民人均可支配收入实现34674元，增长8.4%；农村居民人均可支配收入实现17577元，增长9.2%。</w:t>
      </w:r>
    </w:p>
    <w:sectPr w:rsidR="007A32C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963" w:rsidRDefault="00D15963" w:rsidP="00764391">
      <w:r>
        <w:separator/>
      </w:r>
    </w:p>
  </w:endnote>
  <w:endnote w:type="continuationSeparator" w:id="1">
    <w:p w:rsidR="00D15963" w:rsidRDefault="00D15963" w:rsidP="007643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963" w:rsidRDefault="00D15963" w:rsidP="00764391">
      <w:r>
        <w:separator/>
      </w:r>
    </w:p>
  </w:footnote>
  <w:footnote w:type="continuationSeparator" w:id="1">
    <w:p w:rsidR="00D15963" w:rsidRDefault="00D15963" w:rsidP="007643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4391"/>
    <w:rsid w:val="002369D7"/>
    <w:rsid w:val="0061393A"/>
    <w:rsid w:val="00764391"/>
    <w:rsid w:val="007A32C0"/>
    <w:rsid w:val="00D15963"/>
    <w:rsid w:val="00FD1163"/>
    <w:rsid w:val="6F1F7F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character" w:default="1" w:styleId="a0">
    <w:name w:val="Default Paragraph Font"/>
    <w:semiHidden/>
    <w:qForma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3"/>
    <w:basedOn w:val="a"/>
    <w:pPr>
      <w:spacing w:line="590" w:lineRule="exact"/>
      <w:ind w:firstLineChars="200" w:firstLine="660"/>
    </w:pPr>
    <w:rPr>
      <w:rFonts w:eastAsia="黑体" w:cs="Calibri"/>
      <w:sz w:val="33"/>
      <w:szCs w:val="33"/>
    </w:rPr>
  </w:style>
  <w:style w:type="paragraph" w:customStyle="1" w:styleId="1">
    <w:name w:val="图表目录1"/>
    <w:basedOn w:val="a"/>
    <w:next w:val="a"/>
    <w:qFormat/>
    <w:pPr>
      <w:ind w:leftChars="200" w:left="200" w:hangingChars="200" w:hanging="200"/>
    </w:pPr>
  </w:style>
  <w:style w:type="paragraph" w:styleId="a4">
    <w:name w:val="header"/>
    <w:basedOn w:val="a"/>
    <w:link w:val="Char"/>
    <w:rsid w:val="007643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64391"/>
    <w:rPr>
      <w:kern w:val="2"/>
      <w:sz w:val="18"/>
      <w:szCs w:val="18"/>
    </w:rPr>
  </w:style>
  <w:style w:type="paragraph" w:styleId="a5">
    <w:name w:val="footer"/>
    <w:basedOn w:val="a"/>
    <w:link w:val="Char0"/>
    <w:rsid w:val="00764391"/>
    <w:pPr>
      <w:tabs>
        <w:tab w:val="center" w:pos="4153"/>
        <w:tab w:val="right" w:pos="8306"/>
      </w:tabs>
      <w:snapToGrid w:val="0"/>
      <w:jc w:val="left"/>
    </w:pPr>
    <w:rPr>
      <w:sz w:val="18"/>
      <w:szCs w:val="18"/>
    </w:rPr>
  </w:style>
  <w:style w:type="character" w:customStyle="1" w:styleId="Char0">
    <w:name w:val="页脚 Char"/>
    <w:basedOn w:val="a0"/>
    <w:link w:val="a5"/>
    <w:rsid w:val="00764391"/>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947</Characters>
  <Application>Microsoft Office Word</Application>
  <DocSecurity>0</DocSecurity>
  <Lines>7</Lines>
  <Paragraphs>2</Paragraphs>
  <ScaleCrop>false</ScaleCrop>
  <Company>微软中国</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▲市中区</dc:title>
  <dc:creator>Huang</dc:creator>
  <cp:lastModifiedBy>ls</cp:lastModifiedBy>
  <cp:revision>3</cp:revision>
  <dcterms:created xsi:type="dcterms:W3CDTF">2019-06-14T03:27:00Z</dcterms:created>
  <dcterms:modified xsi:type="dcterms:W3CDTF">2019-06-14T03:27:00Z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