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00" w:lineRule="exact"/>
        <w:rPr>
          <w:rFonts w:ascii="仿宋" w:hAnsi="仿宋" w:eastAsia="仿宋"/>
          <w:sz w:val="32"/>
          <w:szCs w:val="32"/>
        </w:rPr>
      </w:pPr>
    </w:p>
    <w:p>
      <w:pPr>
        <w:spacing w:line="480" w:lineRule="exact"/>
        <w:jc w:val="center"/>
        <w:rPr>
          <w:rFonts w:ascii="宋体" w:hAnsi="宋体" w:cs="仿宋_GB2312"/>
          <w:b/>
          <w:sz w:val="44"/>
          <w:szCs w:val="44"/>
        </w:rPr>
      </w:pPr>
      <w:r>
        <w:rPr>
          <w:rFonts w:hint="eastAsia" w:ascii="宋体" w:hAnsi="宋体" w:cs="仿宋_GB2312"/>
          <w:b/>
          <w:sz w:val="44"/>
          <w:szCs w:val="44"/>
        </w:rPr>
        <w:t>湄洲湾职业技术学院</w:t>
      </w:r>
    </w:p>
    <w:p>
      <w:pPr>
        <w:spacing w:line="480" w:lineRule="exact"/>
        <w:jc w:val="center"/>
        <w:rPr>
          <w:rFonts w:ascii="宋体" w:hAnsi="宋体" w:cs="仿宋_GB2312"/>
          <w:b/>
          <w:sz w:val="44"/>
          <w:szCs w:val="44"/>
        </w:rPr>
      </w:pPr>
      <w:r>
        <w:rPr>
          <w:rFonts w:hint="eastAsia" w:ascii="宋体" w:hAnsi="宋体" w:cs="仿宋_GB2312"/>
          <w:b/>
          <w:sz w:val="44"/>
          <w:szCs w:val="44"/>
        </w:rPr>
        <w:t>2019年硕士研究生招聘方案</w:t>
      </w:r>
    </w:p>
    <w:p>
      <w:pPr>
        <w:spacing w:line="480" w:lineRule="exact"/>
        <w:ind w:firstLine="480" w:firstLineChars="150"/>
        <w:rPr>
          <w:kern w:val="0"/>
          <w:szCs w:val="21"/>
        </w:rPr>
      </w:pPr>
      <w:r>
        <w:rPr>
          <w:rFonts w:hint="eastAsia" w:ascii="仿宋" w:hAnsi="仿宋" w:eastAsia="仿宋"/>
          <w:kern w:val="0"/>
          <w:sz w:val="32"/>
          <w:szCs w:val="32"/>
        </w:rPr>
        <w:t>根据学院教育教学工作需要，</w:t>
      </w:r>
      <w:r>
        <w:rPr>
          <w:rFonts w:hint="eastAsia" w:ascii="仿宋_GB2312" w:hAnsi="宋体" w:eastAsia="仿宋_GB2312" w:cs="仿宋_GB2312"/>
          <w:sz w:val="32"/>
          <w:szCs w:val="32"/>
        </w:rPr>
        <w:t>拟面向社会公开考核招聘教师若干名</w:t>
      </w:r>
      <w:r>
        <w:rPr>
          <w:rFonts w:hint="eastAsia" w:ascii="仿宋" w:hAnsi="仿宋" w:eastAsia="仿宋"/>
          <w:kern w:val="0"/>
          <w:sz w:val="32"/>
          <w:szCs w:val="32"/>
        </w:rPr>
        <w:t>。具体方案如下：</w:t>
      </w:r>
    </w:p>
    <w:p>
      <w:pPr>
        <w:spacing w:line="480" w:lineRule="exact"/>
        <w:ind w:firstLine="640"/>
        <w:rPr>
          <w:kern w:val="0"/>
          <w:szCs w:val="21"/>
        </w:rPr>
      </w:pPr>
      <w:r>
        <w:rPr>
          <w:rFonts w:hint="eastAsia" w:ascii="黑体" w:hAnsi="黑体" w:eastAsia="黑体"/>
          <w:kern w:val="0"/>
          <w:sz w:val="32"/>
          <w:szCs w:val="32"/>
        </w:rPr>
        <w:t>一、招聘范围</w:t>
      </w:r>
    </w:p>
    <w:p>
      <w:pPr>
        <w:spacing w:line="480" w:lineRule="exact"/>
        <w:ind w:firstLine="640"/>
        <w:jc w:val="left"/>
        <w:rPr>
          <w:kern w:val="0"/>
          <w:szCs w:val="21"/>
        </w:rPr>
      </w:pPr>
      <w:r>
        <w:rPr>
          <w:rFonts w:hint="eastAsia" w:ascii="仿宋_GB2312" w:eastAsia="仿宋_GB2312"/>
          <w:kern w:val="0"/>
          <w:sz w:val="32"/>
          <w:szCs w:val="32"/>
        </w:rPr>
        <w:t>普通高等院校全日制硕士研究生若干名，有相关专业实践经验者优先。</w:t>
      </w:r>
    </w:p>
    <w:p>
      <w:pPr>
        <w:spacing w:line="480" w:lineRule="exact"/>
        <w:ind w:firstLine="640"/>
        <w:rPr>
          <w:rFonts w:ascii="黑体" w:hAnsi="黑体" w:eastAsia="黑体"/>
          <w:kern w:val="0"/>
          <w:sz w:val="32"/>
          <w:szCs w:val="32"/>
        </w:rPr>
      </w:pPr>
      <w:r>
        <w:rPr>
          <w:rFonts w:hint="eastAsia" w:ascii="黑体" w:hAnsi="黑体" w:eastAsia="黑体"/>
          <w:kern w:val="0"/>
          <w:sz w:val="32"/>
          <w:szCs w:val="32"/>
        </w:rPr>
        <w:t>二、招聘岗位、人数及条件</w:t>
      </w:r>
    </w:p>
    <w:tbl>
      <w:tblPr>
        <w:tblW w:w="9967"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588"/>
        <w:gridCol w:w="1412"/>
        <w:gridCol w:w="992"/>
        <w:gridCol w:w="992"/>
        <w:gridCol w:w="1901"/>
        <w:gridCol w:w="1501"/>
        <w:gridCol w:w="981"/>
        <w:gridCol w:w="938"/>
        <w:gridCol w:w="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tblHeader/>
          <w:jc w:val="center"/>
        </w:trPr>
        <w:tc>
          <w:tcPr>
            <w:tcW w:w="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序号</w:t>
            </w:r>
          </w:p>
        </w:tc>
        <w:tc>
          <w:tcPr>
            <w:tcW w:w="141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单位名称</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单位</w:t>
            </w:r>
          </w:p>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性质</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主管</w:t>
            </w:r>
          </w:p>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部门</w:t>
            </w:r>
          </w:p>
        </w:tc>
        <w:tc>
          <w:tcPr>
            <w:tcW w:w="190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招聘专业要求</w:t>
            </w:r>
          </w:p>
        </w:tc>
        <w:tc>
          <w:tcPr>
            <w:tcW w:w="150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学历要求</w:t>
            </w:r>
          </w:p>
        </w:tc>
        <w:tc>
          <w:tcPr>
            <w:tcW w:w="98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年龄</w:t>
            </w:r>
            <w:r>
              <w:rPr>
                <w:rFonts w:hint="eastAsia" w:ascii="仿宋" w:hAnsi="仿宋" w:eastAsia="仿宋" w:cs="宋体"/>
                <w:b/>
                <w:color w:val="000000"/>
                <w:kern w:val="0"/>
                <w:sz w:val="22"/>
                <w:szCs w:val="22"/>
              </w:rPr>
              <w:br/>
            </w:r>
            <w:r>
              <w:rPr>
                <w:rFonts w:hint="eastAsia" w:ascii="仿宋" w:hAnsi="仿宋" w:eastAsia="仿宋" w:cs="宋体"/>
                <w:b/>
                <w:color w:val="000000"/>
                <w:kern w:val="0"/>
                <w:sz w:val="22"/>
                <w:szCs w:val="22"/>
              </w:rPr>
              <w:t>要求</w:t>
            </w:r>
          </w:p>
        </w:tc>
        <w:tc>
          <w:tcPr>
            <w:tcW w:w="93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岗位</w:t>
            </w:r>
          </w:p>
        </w:tc>
        <w:tc>
          <w:tcPr>
            <w:tcW w:w="66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招收人数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141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中国语言文学类</w:t>
            </w:r>
          </w:p>
        </w:tc>
        <w:tc>
          <w:tcPr>
            <w:tcW w:w="150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办公室文员</w:t>
            </w:r>
          </w:p>
        </w:tc>
        <w:tc>
          <w:tcPr>
            <w:tcW w:w="66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10" w:hRule="atLeast"/>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w:t>
            </w:r>
          </w:p>
        </w:tc>
        <w:tc>
          <w:tcPr>
            <w:tcW w:w="141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会计与审计类</w:t>
            </w:r>
          </w:p>
        </w:tc>
        <w:tc>
          <w:tcPr>
            <w:tcW w:w="150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后勤管理</w:t>
            </w:r>
          </w:p>
        </w:tc>
        <w:tc>
          <w:tcPr>
            <w:tcW w:w="66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3</w:t>
            </w:r>
          </w:p>
        </w:tc>
        <w:tc>
          <w:tcPr>
            <w:tcW w:w="141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护理学类</w:t>
            </w:r>
          </w:p>
        </w:tc>
        <w:tc>
          <w:tcPr>
            <w:tcW w:w="150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护理学科教师</w:t>
            </w:r>
          </w:p>
        </w:tc>
        <w:tc>
          <w:tcPr>
            <w:tcW w:w="66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70" w:hRule="atLeast"/>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w:t>
            </w:r>
          </w:p>
        </w:tc>
        <w:tc>
          <w:tcPr>
            <w:tcW w:w="141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临床医学、内科学、儿科学、临床检验诊断学、妇产科学、康复医学与理疗学、急诊医学、老年医学、外科学、</w:t>
            </w:r>
          </w:p>
        </w:tc>
        <w:tc>
          <w:tcPr>
            <w:tcW w:w="150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临床学科教师</w:t>
            </w:r>
          </w:p>
        </w:tc>
        <w:tc>
          <w:tcPr>
            <w:tcW w:w="66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740" w:hRule="atLeast"/>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5</w:t>
            </w:r>
          </w:p>
        </w:tc>
        <w:tc>
          <w:tcPr>
            <w:tcW w:w="141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中医学、中医基础理论、中医诊断学、中医内科学、中医外科学、中医骨伤科学、中医妇科学、中医儿科学、针灸推拿（学）、中西医结合临床</w:t>
            </w:r>
          </w:p>
        </w:tc>
        <w:tc>
          <w:tcPr>
            <w:tcW w:w="150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中医学科教师</w:t>
            </w:r>
          </w:p>
        </w:tc>
        <w:tc>
          <w:tcPr>
            <w:tcW w:w="66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6</w:t>
            </w:r>
          </w:p>
        </w:tc>
        <w:tc>
          <w:tcPr>
            <w:tcW w:w="141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体育学类，本科阶段为武术专业</w:t>
            </w:r>
          </w:p>
        </w:tc>
        <w:tc>
          <w:tcPr>
            <w:tcW w:w="150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体育教师1</w:t>
            </w:r>
          </w:p>
        </w:tc>
        <w:tc>
          <w:tcPr>
            <w:tcW w:w="66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7</w:t>
            </w:r>
          </w:p>
        </w:tc>
        <w:tc>
          <w:tcPr>
            <w:tcW w:w="141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体育学类，本科阶段为竞技体育专业</w:t>
            </w:r>
          </w:p>
        </w:tc>
        <w:tc>
          <w:tcPr>
            <w:tcW w:w="150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体育教师2</w:t>
            </w:r>
          </w:p>
        </w:tc>
        <w:tc>
          <w:tcPr>
            <w:tcW w:w="66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8</w:t>
            </w:r>
          </w:p>
        </w:tc>
        <w:tc>
          <w:tcPr>
            <w:tcW w:w="141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学前教育、学前教育学、少年儿童组织与思想意识教育</w:t>
            </w:r>
          </w:p>
        </w:tc>
        <w:tc>
          <w:tcPr>
            <w:tcW w:w="150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学前专业教师1</w:t>
            </w:r>
          </w:p>
        </w:tc>
        <w:tc>
          <w:tcPr>
            <w:tcW w:w="66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9</w:t>
            </w:r>
          </w:p>
        </w:tc>
        <w:tc>
          <w:tcPr>
            <w:tcW w:w="141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pacing w:val="-8"/>
                <w:kern w:val="0"/>
                <w:szCs w:val="21"/>
              </w:rPr>
            </w:pPr>
            <w:r>
              <w:rPr>
                <w:rFonts w:hint="eastAsia" w:ascii="仿宋" w:hAnsi="仿宋" w:eastAsia="仿宋" w:cs="宋体"/>
                <w:color w:val="000000"/>
                <w:spacing w:val="-8"/>
                <w:kern w:val="0"/>
                <w:szCs w:val="21"/>
              </w:rPr>
              <w:t>心理学类</w:t>
            </w:r>
          </w:p>
        </w:tc>
        <w:tc>
          <w:tcPr>
            <w:tcW w:w="150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学前专业心理学教师</w:t>
            </w:r>
          </w:p>
        </w:tc>
        <w:tc>
          <w:tcPr>
            <w:tcW w:w="66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10</w:t>
            </w:r>
          </w:p>
        </w:tc>
        <w:tc>
          <w:tcPr>
            <w:tcW w:w="141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舞蹈表演、舞蹈（学）、舞蹈编导、音乐与舞蹈学、艺术硕士专业（舞蹈）</w:t>
            </w:r>
          </w:p>
        </w:tc>
        <w:tc>
          <w:tcPr>
            <w:tcW w:w="150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学前专业舞蹈教师</w:t>
            </w:r>
          </w:p>
        </w:tc>
        <w:tc>
          <w:tcPr>
            <w:tcW w:w="66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11</w:t>
            </w:r>
          </w:p>
        </w:tc>
        <w:tc>
          <w:tcPr>
            <w:tcW w:w="141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音乐（学）、音乐表演、音乐教育、音乐与舞蹈学、艺术硕士专业（音乐）</w:t>
            </w:r>
          </w:p>
        </w:tc>
        <w:tc>
          <w:tcPr>
            <w:tcW w:w="150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学前专业声乐教师</w:t>
            </w:r>
          </w:p>
        </w:tc>
        <w:tc>
          <w:tcPr>
            <w:tcW w:w="66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10" w:hRule="atLeast"/>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12</w:t>
            </w:r>
          </w:p>
        </w:tc>
        <w:tc>
          <w:tcPr>
            <w:tcW w:w="141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公共卫生与预防医学、儿少卫生与妇幼保健学、营养与食品卫生学</w:t>
            </w:r>
          </w:p>
        </w:tc>
        <w:tc>
          <w:tcPr>
            <w:tcW w:w="150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学前专业教师2</w:t>
            </w:r>
          </w:p>
        </w:tc>
        <w:tc>
          <w:tcPr>
            <w:tcW w:w="66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10" w:hRule="atLeast"/>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13</w:t>
            </w:r>
          </w:p>
        </w:tc>
        <w:tc>
          <w:tcPr>
            <w:tcW w:w="141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美术（学）、艺术硕士专业（美术）、学科教学（美术）、</w:t>
            </w:r>
          </w:p>
        </w:tc>
        <w:tc>
          <w:tcPr>
            <w:tcW w:w="150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学前专业美术教师</w:t>
            </w:r>
          </w:p>
        </w:tc>
        <w:tc>
          <w:tcPr>
            <w:tcW w:w="66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365" w:hRule="atLeast"/>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14</w:t>
            </w:r>
          </w:p>
        </w:tc>
        <w:tc>
          <w:tcPr>
            <w:tcW w:w="141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数字媒体艺术、数字媒体（技术）、动画、动漫设计与制作、三维动画设计、数字多媒体（图形图像）、数字媒体与制作</w:t>
            </w:r>
          </w:p>
        </w:tc>
        <w:tc>
          <w:tcPr>
            <w:tcW w:w="150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动漫专业教师</w:t>
            </w:r>
          </w:p>
        </w:tc>
        <w:tc>
          <w:tcPr>
            <w:tcW w:w="66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15</w:t>
            </w:r>
          </w:p>
        </w:tc>
        <w:tc>
          <w:tcPr>
            <w:tcW w:w="141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计算机科学与技术类</w:t>
            </w:r>
          </w:p>
        </w:tc>
        <w:tc>
          <w:tcPr>
            <w:tcW w:w="150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计算机教师</w:t>
            </w:r>
          </w:p>
        </w:tc>
        <w:tc>
          <w:tcPr>
            <w:tcW w:w="66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10" w:hRule="atLeast"/>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16</w:t>
            </w:r>
          </w:p>
        </w:tc>
        <w:tc>
          <w:tcPr>
            <w:tcW w:w="141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设计艺术（学）、艺术设计、环境艺术设计、艺术设计（环境艺术方向）</w:t>
            </w:r>
          </w:p>
        </w:tc>
        <w:tc>
          <w:tcPr>
            <w:tcW w:w="150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工艺、建筑专业教师</w:t>
            </w:r>
          </w:p>
        </w:tc>
        <w:tc>
          <w:tcPr>
            <w:tcW w:w="66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17</w:t>
            </w:r>
          </w:p>
        </w:tc>
        <w:tc>
          <w:tcPr>
            <w:tcW w:w="141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安全科学与工程、安全技术及工程、安全技术管理、安全工程</w:t>
            </w:r>
          </w:p>
        </w:tc>
        <w:tc>
          <w:tcPr>
            <w:tcW w:w="150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安全工程专业教师</w:t>
            </w:r>
          </w:p>
        </w:tc>
        <w:tc>
          <w:tcPr>
            <w:tcW w:w="66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18</w:t>
            </w:r>
          </w:p>
        </w:tc>
        <w:tc>
          <w:tcPr>
            <w:tcW w:w="141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pacing w:val="-12"/>
                <w:kern w:val="0"/>
                <w:szCs w:val="21"/>
              </w:rPr>
            </w:pPr>
            <w:r>
              <w:rPr>
                <w:rFonts w:hint="eastAsia" w:ascii="仿宋" w:hAnsi="仿宋" w:eastAsia="仿宋" w:cs="宋体"/>
                <w:color w:val="000000"/>
                <w:spacing w:val="-12"/>
                <w:kern w:val="0"/>
                <w:szCs w:val="21"/>
              </w:rPr>
              <w:t>建筑（学）、</w:t>
            </w:r>
            <w:r>
              <w:rPr>
                <w:rFonts w:hint="eastAsia" w:ascii="仿宋" w:hAnsi="仿宋" w:eastAsia="仿宋" w:cs="宋体"/>
                <w:color w:val="000000"/>
                <w:spacing w:val="-12"/>
                <w:kern w:val="0"/>
                <w:sz w:val="22"/>
                <w:szCs w:val="22"/>
              </w:rPr>
              <w:t>风景园林学、环境艺术设计</w:t>
            </w:r>
          </w:p>
        </w:tc>
        <w:tc>
          <w:tcPr>
            <w:tcW w:w="150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建筑专业教师</w:t>
            </w:r>
          </w:p>
        </w:tc>
        <w:tc>
          <w:tcPr>
            <w:tcW w:w="66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19</w:t>
            </w:r>
          </w:p>
        </w:tc>
        <w:tc>
          <w:tcPr>
            <w:tcW w:w="141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图书档案学类</w:t>
            </w:r>
          </w:p>
        </w:tc>
        <w:tc>
          <w:tcPr>
            <w:tcW w:w="150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档案管理</w:t>
            </w:r>
          </w:p>
        </w:tc>
        <w:tc>
          <w:tcPr>
            <w:tcW w:w="66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20</w:t>
            </w:r>
          </w:p>
        </w:tc>
        <w:tc>
          <w:tcPr>
            <w:tcW w:w="141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计算机网络技术类、计算机信息管理类</w:t>
            </w:r>
          </w:p>
        </w:tc>
        <w:tc>
          <w:tcPr>
            <w:tcW w:w="150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网络管理</w:t>
            </w:r>
          </w:p>
        </w:tc>
        <w:tc>
          <w:tcPr>
            <w:tcW w:w="66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63" w:hRule="atLeast"/>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21</w:t>
            </w:r>
          </w:p>
        </w:tc>
        <w:tc>
          <w:tcPr>
            <w:tcW w:w="141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人力资源管理、公共管理（硕士）、企业管理</w:t>
            </w:r>
          </w:p>
        </w:tc>
        <w:tc>
          <w:tcPr>
            <w:tcW w:w="150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人事管理</w:t>
            </w:r>
          </w:p>
        </w:tc>
        <w:tc>
          <w:tcPr>
            <w:tcW w:w="662"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36"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22</w:t>
            </w:r>
          </w:p>
        </w:tc>
        <w:tc>
          <w:tcPr>
            <w:tcW w:w="141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湄洲湾职业技术学院</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财政核拨事业</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莆田市教育局</w:t>
            </w:r>
          </w:p>
        </w:tc>
        <w:tc>
          <w:tcPr>
            <w:tcW w:w="1901"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电子商务、商务信息学、电子商务物流</w:t>
            </w:r>
          </w:p>
        </w:tc>
        <w:tc>
          <w:tcPr>
            <w:tcW w:w="150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全日制硕士研究生及以上</w:t>
            </w:r>
          </w:p>
        </w:tc>
        <w:tc>
          <w:tcPr>
            <w:tcW w:w="98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35周岁及以下</w:t>
            </w:r>
          </w:p>
        </w:tc>
        <w:tc>
          <w:tcPr>
            <w:tcW w:w="93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电子商务专业教师</w:t>
            </w:r>
          </w:p>
        </w:tc>
        <w:tc>
          <w:tcPr>
            <w:tcW w:w="66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5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23</w:t>
            </w:r>
          </w:p>
        </w:tc>
        <w:tc>
          <w:tcPr>
            <w:tcW w:w="141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福建省湄洲湾职业技术学校</w:t>
            </w:r>
          </w:p>
        </w:tc>
        <w:tc>
          <w:tcPr>
            <w:tcW w:w="99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财政核拨事业</w:t>
            </w:r>
          </w:p>
        </w:tc>
        <w:tc>
          <w:tcPr>
            <w:tcW w:w="99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莆田市教育局</w:t>
            </w:r>
          </w:p>
        </w:tc>
        <w:tc>
          <w:tcPr>
            <w:tcW w:w="1901"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Cs w:val="21"/>
              </w:rPr>
            </w:pPr>
            <w:r>
              <w:rPr>
                <w:rFonts w:hint="eastAsia" w:ascii="仿宋" w:hAnsi="仿宋" w:eastAsia="仿宋" w:cs="宋体"/>
                <w:color w:val="000000"/>
                <w:kern w:val="0"/>
                <w:szCs w:val="21"/>
              </w:rPr>
              <w:t>音乐（学）、音乐表演、音乐与舞蹈学、艺术硕士专业（音乐）、音乐教育</w:t>
            </w:r>
          </w:p>
        </w:tc>
        <w:tc>
          <w:tcPr>
            <w:tcW w:w="150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全日制硕士研究生及以上</w:t>
            </w:r>
          </w:p>
        </w:tc>
        <w:tc>
          <w:tcPr>
            <w:tcW w:w="98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35周岁及以下</w:t>
            </w:r>
          </w:p>
        </w:tc>
        <w:tc>
          <w:tcPr>
            <w:tcW w:w="938"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 w:val="22"/>
                <w:szCs w:val="22"/>
              </w:rPr>
            </w:pPr>
            <w:r>
              <w:rPr>
                <w:rFonts w:hint="eastAsia" w:ascii="仿宋" w:hAnsi="仿宋" w:eastAsia="仿宋"/>
                <w:color w:val="000000"/>
                <w:sz w:val="22"/>
                <w:szCs w:val="22"/>
              </w:rPr>
              <w:t>音乐教师</w:t>
            </w:r>
          </w:p>
        </w:tc>
        <w:tc>
          <w:tcPr>
            <w:tcW w:w="66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5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24</w:t>
            </w:r>
          </w:p>
        </w:tc>
        <w:tc>
          <w:tcPr>
            <w:tcW w:w="141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福建省湄洲湾职业技术学校</w:t>
            </w:r>
          </w:p>
        </w:tc>
        <w:tc>
          <w:tcPr>
            <w:tcW w:w="99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财政核拨事业</w:t>
            </w:r>
          </w:p>
        </w:tc>
        <w:tc>
          <w:tcPr>
            <w:tcW w:w="99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莆田市教育局</w:t>
            </w:r>
          </w:p>
        </w:tc>
        <w:tc>
          <w:tcPr>
            <w:tcW w:w="1901"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Cs w:val="21"/>
              </w:rPr>
            </w:pPr>
            <w:r>
              <w:rPr>
                <w:rFonts w:hint="eastAsia" w:ascii="仿宋" w:hAnsi="仿宋" w:eastAsia="仿宋"/>
                <w:color w:val="000000"/>
                <w:szCs w:val="21"/>
              </w:rPr>
              <w:t>艺术设计、美学、艺术学</w:t>
            </w:r>
          </w:p>
        </w:tc>
        <w:tc>
          <w:tcPr>
            <w:tcW w:w="150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全日制硕士研究生及以上</w:t>
            </w:r>
          </w:p>
        </w:tc>
        <w:tc>
          <w:tcPr>
            <w:tcW w:w="98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35周岁及以下</w:t>
            </w:r>
          </w:p>
        </w:tc>
        <w:tc>
          <w:tcPr>
            <w:tcW w:w="938"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 w:val="22"/>
                <w:szCs w:val="22"/>
              </w:rPr>
            </w:pPr>
            <w:r>
              <w:rPr>
                <w:rFonts w:hint="eastAsia" w:ascii="仿宋" w:hAnsi="仿宋" w:eastAsia="仿宋"/>
                <w:color w:val="000000"/>
                <w:sz w:val="22"/>
                <w:szCs w:val="22"/>
              </w:rPr>
              <w:t>艺术教师</w:t>
            </w:r>
          </w:p>
        </w:tc>
        <w:tc>
          <w:tcPr>
            <w:tcW w:w="66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5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25</w:t>
            </w:r>
          </w:p>
        </w:tc>
        <w:tc>
          <w:tcPr>
            <w:tcW w:w="141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福建省湄洲湾职业技术学校</w:t>
            </w:r>
          </w:p>
        </w:tc>
        <w:tc>
          <w:tcPr>
            <w:tcW w:w="99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财政核拨事业</w:t>
            </w:r>
          </w:p>
        </w:tc>
        <w:tc>
          <w:tcPr>
            <w:tcW w:w="99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莆田市教育局</w:t>
            </w:r>
          </w:p>
        </w:tc>
        <w:tc>
          <w:tcPr>
            <w:tcW w:w="1901"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Cs w:val="21"/>
              </w:rPr>
            </w:pPr>
            <w:r>
              <w:rPr>
                <w:rFonts w:hint="eastAsia" w:ascii="仿宋" w:hAnsi="仿宋" w:eastAsia="仿宋"/>
                <w:color w:val="000000"/>
                <w:szCs w:val="21"/>
              </w:rPr>
              <w:t>体育学类</w:t>
            </w:r>
          </w:p>
        </w:tc>
        <w:tc>
          <w:tcPr>
            <w:tcW w:w="150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全日制硕士研究生及以上</w:t>
            </w:r>
          </w:p>
        </w:tc>
        <w:tc>
          <w:tcPr>
            <w:tcW w:w="98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35周岁及以下</w:t>
            </w:r>
          </w:p>
        </w:tc>
        <w:tc>
          <w:tcPr>
            <w:tcW w:w="938"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 w:val="22"/>
                <w:szCs w:val="22"/>
              </w:rPr>
            </w:pPr>
            <w:r>
              <w:rPr>
                <w:rFonts w:hint="eastAsia" w:ascii="仿宋" w:hAnsi="仿宋" w:eastAsia="仿宋"/>
                <w:color w:val="000000"/>
                <w:sz w:val="22"/>
                <w:szCs w:val="22"/>
              </w:rPr>
              <w:t>体育教师</w:t>
            </w:r>
          </w:p>
        </w:tc>
        <w:tc>
          <w:tcPr>
            <w:tcW w:w="66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5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26</w:t>
            </w:r>
          </w:p>
        </w:tc>
        <w:tc>
          <w:tcPr>
            <w:tcW w:w="141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福建省湄洲湾职业技术学校</w:t>
            </w:r>
          </w:p>
        </w:tc>
        <w:tc>
          <w:tcPr>
            <w:tcW w:w="99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财政核拨事业</w:t>
            </w:r>
          </w:p>
        </w:tc>
        <w:tc>
          <w:tcPr>
            <w:tcW w:w="99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莆田市教育局</w:t>
            </w:r>
          </w:p>
        </w:tc>
        <w:tc>
          <w:tcPr>
            <w:tcW w:w="1901"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Cs w:val="21"/>
              </w:rPr>
            </w:pPr>
            <w:r>
              <w:rPr>
                <w:rFonts w:hint="eastAsia" w:ascii="仿宋" w:hAnsi="仿宋" w:eastAsia="仿宋"/>
                <w:color w:val="000000"/>
                <w:szCs w:val="21"/>
              </w:rPr>
              <w:t>艺术设计类</w:t>
            </w:r>
          </w:p>
        </w:tc>
        <w:tc>
          <w:tcPr>
            <w:tcW w:w="150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全日制硕士研究生及以上</w:t>
            </w:r>
          </w:p>
        </w:tc>
        <w:tc>
          <w:tcPr>
            <w:tcW w:w="98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35周岁及以下</w:t>
            </w:r>
          </w:p>
        </w:tc>
        <w:tc>
          <w:tcPr>
            <w:tcW w:w="938"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 w:val="22"/>
                <w:szCs w:val="22"/>
              </w:rPr>
            </w:pPr>
            <w:r>
              <w:rPr>
                <w:rFonts w:hint="eastAsia" w:ascii="仿宋" w:hAnsi="仿宋" w:eastAsia="仿宋"/>
                <w:color w:val="000000"/>
                <w:sz w:val="22"/>
                <w:szCs w:val="22"/>
              </w:rPr>
              <w:t>设计教师</w:t>
            </w:r>
          </w:p>
        </w:tc>
        <w:tc>
          <w:tcPr>
            <w:tcW w:w="66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5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27</w:t>
            </w:r>
          </w:p>
        </w:tc>
        <w:tc>
          <w:tcPr>
            <w:tcW w:w="141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福建省湄洲湾职业技术学校</w:t>
            </w:r>
          </w:p>
        </w:tc>
        <w:tc>
          <w:tcPr>
            <w:tcW w:w="99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财政核拨事业</w:t>
            </w:r>
          </w:p>
        </w:tc>
        <w:tc>
          <w:tcPr>
            <w:tcW w:w="99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莆田市教育局</w:t>
            </w:r>
          </w:p>
        </w:tc>
        <w:tc>
          <w:tcPr>
            <w:tcW w:w="1901"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Cs w:val="21"/>
              </w:rPr>
            </w:pPr>
            <w:r>
              <w:rPr>
                <w:rFonts w:hint="eastAsia" w:ascii="仿宋" w:hAnsi="仿宋" w:eastAsia="仿宋"/>
                <w:color w:val="000000"/>
                <w:szCs w:val="21"/>
              </w:rPr>
              <w:t>材料物理与化学、材料加工工程、材料学</w:t>
            </w:r>
          </w:p>
        </w:tc>
        <w:tc>
          <w:tcPr>
            <w:tcW w:w="150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全日制硕士研究生及以上</w:t>
            </w:r>
          </w:p>
        </w:tc>
        <w:tc>
          <w:tcPr>
            <w:tcW w:w="98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35周岁及以下</w:t>
            </w:r>
          </w:p>
        </w:tc>
        <w:tc>
          <w:tcPr>
            <w:tcW w:w="938"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 w:val="22"/>
                <w:szCs w:val="22"/>
              </w:rPr>
            </w:pPr>
            <w:r>
              <w:rPr>
                <w:rFonts w:hint="eastAsia" w:ascii="仿宋" w:hAnsi="仿宋" w:eastAsia="仿宋"/>
                <w:color w:val="000000"/>
                <w:sz w:val="22"/>
                <w:szCs w:val="22"/>
              </w:rPr>
              <w:t>材料教师</w:t>
            </w:r>
          </w:p>
        </w:tc>
        <w:tc>
          <w:tcPr>
            <w:tcW w:w="66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5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28</w:t>
            </w:r>
          </w:p>
        </w:tc>
        <w:tc>
          <w:tcPr>
            <w:tcW w:w="141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福建省湄洲湾职业技术学校</w:t>
            </w:r>
          </w:p>
        </w:tc>
        <w:tc>
          <w:tcPr>
            <w:tcW w:w="99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财政核拨事业</w:t>
            </w:r>
          </w:p>
        </w:tc>
        <w:tc>
          <w:tcPr>
            <w:tcW w:w="99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莆田市教育局</w:t>
            </w:r>
          </w:p>
        </w:tc>
        <w:tc>
          <w:tcPr>
            <w:tcW w:w="1901"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Cs w:val="21"/>
              </w:rPr>
            </w:pPr>
            <w:r>
              <w:rPr>
                <w:rFonts w:hint="eastAsia" w:ascii="仿宋" w:hAnsi="仿宋" w:eastAsia="仿宋"/>
                <w:color w:val="000000"/>
                <w:szCs w:val="21"/>
              </w:rPr>
              <w:t>中国语言文学类</w:t>
            </w:r>
          </w:p>
        </w:tc>
        <w:tc>
          <w:tcPr>
            <w:tcW w:w="150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全日制硕士研究生及以上</w:t>
            </w:r>
          </w:p>
        </w:tc>
        <w:tc>
          <w:tcPr>
            <w:tcW w:w="98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35周岁及以下</w:t>
            </w:r>
          </w:p>
        </w:tc>
        <w:tc>
          <w:tcPr>
            <w:tcW w:w="938"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 w:val="22"/>
                <w:szCs w:val="22"/>
              </w:rPr>
            </w:pPr>
            <w:r>
              <w:rPr>
                <w:rFonts w:hint="eastAsia" w:ascii="仿宋" w:hAnsi="仿宋" w:eastAsia="仿宋"/>
                <w:color w:val="000000"/>
                <w:sz w:val="22"/>
                <w:szCs w:val="22"/>
              </w:rPr>
              <w:t>管理干事</w:t>
            </w:r>
          </w:p>
        </w:tc>
        <w:tc>
          <w:tcPr>
            <w:tcW w:w="66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5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29</w:t>
            </w:r>
          </w:p>
        </w:tc>
        <w:tc>
          <w:tcPr>
            <w:tcW w:w="141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福建省湄洲湾职业技术学校</w:t>
            </w:r>
          </w:p>
        </w:tc>
        <w:tc>
          <w:tcPr>
            <w:tcW w:w="99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财政核拨事业</w:t>
            </w:r>
          </w:p>
        </w:tc>
        <w:tc>
          <w:tcPr>
            <w:tcW w:w="99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莆田市教育局</w:t>
            </w:r>
          </w:p>
        </w:tc>
        <w:tc>
          <w:tcPr>
            <w:tcW w:w="1901"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Cs w:val="21"/>
              </w:rPr>
            </w:pPr>
            <w:r>
              <w:rPr>
                <w:rFonts w:hint="eastAsia" w:ascii="仿宋" w:hAnsi="仿宋" w:eastAsia="仿宋"/>
                <w:color w:val="000000"/>
                <w:szCs w:val="21"/>
              </w:rPr>
              <w:t>计算机科学与技术类</w:t>
            </w:r>
          </w:p>
        </w:tc>
        <w:tc>
          <w:tcPr>
            <w:tcW w:w="150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全日制硕士研究生及以上</w:t>
            </w:r>
          </w:p>
        </w:tc>
        <w:tc>
          <w:tcPr>
            <w:tcW w:w="98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35周岁及以下</w:t>
            </w:r>
          </w:p>
        </w:tc>
        <w:tc>
          <w:tcPr>
            <w:tcW w:w="938"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 w:val="22"/>
                <w:szCs w:val="22"/>
              </w:rPr>
            </w:pPr>
            <w:r>
              <w:rPr>
                <w:rFonts w:hint="eastAsia" w:ascii="仿宋" w:hAnsi="仿宋" w:eastAsia="仿宋"/>
                <w:color w:val="000000"/>
                <w:sz w:val="22"/>
                <w:szCs w:val="22"/>
              </w:rPr>
              <w:t>实训指导管理</w:t>
            </w:r>
          </w:p>
        </w:tc>
        <w:tc>
          <w:tcPr>
            <w:tcW w:w="66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50"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30</w:t>
            </w:r>
          </w:p>
        </w:tc>
        <w:tc>
          <w:tcPr>
            <w:tcW w:w="141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福建省湄洲湾职业技术学校</w:t>
            </w:r>
          </w:p>
        </w:tc>
        <w:tc>
          <w:tcPr>
            <w:tcW w:w="99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财政核拨事业</w:t>
            </w:r>
          </w:p>
        </w:tc>
        <w:tc>
          <w:tcPr>
            <w:tcW w:w="99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莆田市教育局</w:t>
            </w:r>
          </w:p>
        </w:tc>
        <w:tc>
          <w:tcPr>
            <w:tcW w:w="1901"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Cs w:val="21"/>
              </w:rPr>
            </w:pPr>
            <w:r>
              <w:rPr>
                <w:rFonts w:hint="eastAsia" w:ascii="仿宋" w:hAnsi="仿宋" w:eastAsia="仿宋"/>
                <w:color w:val="000000"/>
                <w:szCs w:val="21"/>
              </w:rPr>
              <w:t>会计与审计类</w:t>
            </w:r>
          </w:p>
        </w:tc>
        <w:tc>
          <w:tcPr>
            <w:tcW w:w="150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全日制硕士研究生及以上</w:t>
            </w:r>
          </w:p>
        </w:tc>
        <w:tc>
          <w:tcPr>
            <w:tcW w:w="981"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35周岁及以下</w:t>
            </w:r>
          </w:p>
        </w:tc>
        <w:tc>
          <w:tcPr>
            <w:tcW w:w="938"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 w:val="22"/>
                <w:szCs w:val="22"/>
              </w:rPr>
            </w:pPr>
            <w:r>
              <w:rPr>
                <w:rFonts w:hint="eastAsia" w:ascii="仿宋" w:hAnsi="仿宋" w:eastAsia="仿宋"/>
                <w:color w:val="000000"/>
                <w:sz w:val="22"/>
                <w:szCs w:val="22"/>
              </w:rPr>
              <w:t>财务管理</w:t>
            </w:r>
          </w:p>
        </w:tc>
        <w:tc>
          <w:tcPr>
            <w:tcW w:w="66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1</w:t>
            </w:r>
          </w:p>
        </w:tc>
      </w:tr>
    </w:tbl>
    <w:p>
      <w:pPr>
        <w:spacing w:line="240" w:lineRule="exact"/>
        <w:jc w:val="left"/>
        <w:rPr>
          <w:rFonts w:ascii="仿宋" w:hAnsi="仿宋" w:eastAsia="仿宋"/>
          <w:kern w:val="0"/>
          <w:sz w:val="13"/>
          <w:szCs w:val="13"/>
        </w:rPr>
      </w:pPr>
    </w:p>
    <w:p>
      <w:pPr>
        <w:spacing w:line="400" w:lineRule="exact"/>
        <w:ind w:firstLine="640"/>
        <w:jc w:val="left"/>
        <w:rPr>
          <w:kern w:val="0"/>
          <w:szCs w:val="21"/>
        </w:rPr>
      </w:pPr>
      <w:r>
        <w:rPr>
          <w:rFonts w:hint="eastAsia" w:ascii="仿宋" w:hAnsi="仿宋" w:eastAsia="仿宋"/>
          <w:kern w:val="0"/>
          <w:sz w:val="32"/>
          <w:szCs w:val="32"/>
        </w:rPr>
        <w:t>其他条件要求：</w:t>
      </w:r>
    </w:p>
    <w:p>
      <w:pPr>
        <w:shd w:val="clear" w:color="auto" w:fill="FFFFFF"/>
        <w:spacing w:line="400" w:lineRule="exact"/>
        <w:ind w:firstLine="646"/>
        <w:jc w:val="left"/>
        <w:rPr>
          <w:kern w:val="0"/>
          <w:szCs w:val="21"/>
        </w:rPr>
      </w:pPr>
      <w:r>
        <w:rPr>
          <w:rFonts w:hint="eastAsia" w:ascii="仿宋" w:hAnsi="仿宋" w:eastAsia="仿宋"/>
          <w:kern w:val="0"/>
          <w:sz w:val="32"/>
          <w:szCs w:val="32"/>
        </w:rPr>
        <w:t>（一）具有中华人民共和国国籍，遵守中华人民共和国宪法、法律、法规；</w:t>
      </w:r>
    </w:p>
    <w:p>
      <w:pPr>
        <w:shd w:val="clear" w:color="auto" w:fill="FFFFFF"/>
        <w:spacing w:line="400" w:lineRule="exact"/>
        <w:ind w:firstLine="640" w:firstLineChars="200"/>
        <w:jc w:val="left"/>
        <w:rPr>
          <w:kern w:val="0"/>
          <w:szCs w:val="21"/>
        </w:rPr>
      </w:pPr>
      <w:r>
        <w:rPr>
          <w:rFonts w:hint="eastAsia" w:ascii="仿宋" w:hAnsi="仿宋" w:eastAsia="仿宋"/>
          <w:kern w:val="0"/>
          <w:sz w:val="32"/>
          <w:szCs w:val="32"/>
        </w:rPr>
        <w:t>（二）遵守纪律，品行端正，具备良好的职业道德；</w:t>
      </w:r>
    </w:p>
    <w:p>
      <w:pPr>
        <w:shd w:val="clear" w:color="auto" w:fill="FFFFFF"/>
        <w:spacing w:line="400" w:lineRule="exact"/>
        <w:ind w:firstLine="640"/>
        <w:jc w:val="left"/>
        <w:rPr>
          <w:kern w:val="0"/>
          <w:szCs w:val="21"/>
        </w:rPr>
      </w:pPr>
      <w:r>
        <w:rPr>
          <w:rFonts w:hint="eastAsia" w:ascii="仿宋" w:hAnsi="仿宋" w:eastAsia="仿宋"/>
          <w:kern w:val="0"/>
          <w:sz w:val="32"/>
          <w:szCs w:val="32"/>
        </w:rPr>
        <w:t>（三）具有拟招聘岗位要求的学历层次等资格条件；</w:t>
      </w:r>
    </w:p>
    <w:p>
      <w:pPr>
        <w:shd w:val="clear" w:color="auto" w:fill="FFFFFF"/>
        <w:spacing w:line="400" w:lineRule="exact"/>
        <w:ind w:firstLine="640"/>
        <w:jc w:val="left"/>
        <w:rPr>
          <w:kern w:val="0"/>
          <w:szCs w:val="21"/>
        </w:rPr>
      </w:pPr>
      <w:r>
        <w:rPr>
          <w:rFonts w:hint="eastAsia" w:ascii="仿宋" w:hAnsi="仿宋" w:eastAsia="仿宋"/>
          <w:kern w:val="0"/>
          <w:sz w:val="32"/>
          <w:szCs w:val="32"/>
        </w:rPr>
        <w:t>（四）身体健康，符合教师资格人员身体条件；</w:t>
      </w:r>
    </w:p>
    <w:p>
      <w:pPr>
        <w:shd w:val="clear" w:color="auto" w:fill="FFFFFF"/>
        <w:spacing w:line="400" w:lineRule="exact"/>
        <w:ind w:firstLine="640"/>
        <w:jc w:val="left"/>
        <w:rPr>
          <w:kern w:val="0"/>
          <w:szCs w:val="21"/>
        </w:rPr>
      </w:pPr>
      <w:r>
        <w:rPr>
          <w:rFonts w:hint="eastAsia" w:ascii="仿宋" w:hAnsi="仿宋" w:eastAsia="仿宋"/>
          <w:kern w:val="0"/>
          <w:sz w:val="32"/>
          <w:szCs w:val="32"/>
        </w:rPr>
        <w:t>（五）学历及相关证书须在报名前取得（2019届应届毕业生的相关证书于2019年12月31日前取得，报名时须提供毕业生就业推荐表）；</w:t>
      </w:r>
    </w:p>
    <w:p>
      <w:pPr>
        <w:shd w:val="clear" w:color="auto" w:fill="FFFFFF"/>
        <w:spacing w:line="480" w:lineRule="exact"/>
        <w:ind w:firstLine="640"/>
        <w:jc w:val="left"/>
        <w:rPr>
          <w:kern w:val="0"/>
          <w:szCs w:val="21"/>
        </w:rPr>
      </w:pPr>
      <w:r>
        <w:rPr>
          <w:rFonts w:hint="eastAsia" w:ascii="仿宋" w:hAnsi="仿宋" w:eastAsia="仿宋"/>
          <w:kern w:val="0"/>
          <w:sz w:val="32"/>
          <w:szCs w:val="32"/>
        </w:rPr>
        <w:t>（六）留学回国人员，香港、澳门地区学习人员需提供教育部留学服务中心出具的《国外学历学位认证书》、《香港、澳门特别行政区学历学位认证书》或福建省人事行政部门出具的《留学回国人员身份认定审核表》、《港澳地区学习人员身份认定审核表》。国内院校与国外院校联合办学取得国内学历学位的，由国内院校出具相应证明。国内院校与国外院校联合办学取得国外学历学位的，需出具教育部留学服务中心的《联合办学学历学位评估意见书》或《联合办学学历学位认证书》。</w:t>
      </w:r>
    </w:p>
    <w:p>
      <w:pPr>
        <w:shd w:val="clear" w:color="auto" w:fill="FFFFFF"/>
        <w:spacing w:line="480" w:lineRule="exact"/>
        <w:ind w:firstLine="645"/>
        <w:jc w:val="left"/>
        <w:rPr>
          <w:kern w:val="0"/>
          <w:szCs w:val="21"/>
        </w:rPr>
      </w:pPr>
      <w:r>
        <w:rPr>
          <w:rFonts w:hint="eastAsia" w:ascii="仿宋" w:hAnsi="仿宋" w:eastAsia="仿宋"/>
          <w:kern w:val="0"/>
          <w:sz w:val="32"/>
          <w:szCs w:val="32"/>
        </w:rPr>
        <w:t>（七）因受过刑事处罚或被开除公职的人员，以及法律上有规定不得招聘录用的其他情形的人员，不得报名。</w:t>
      </w:r>
    </w:p>
    <w:p>
      <w:pPr>
        <w:spacing w:line="480" w:lineRule="exact"/>
        <w:ind w:firstLine="640"/>
        <w:jc w:val="left"/>
        <w:rPr>
          <w:kern w:val="0"/>
          <w:szCs w:val="21"/>
        </w:rPr>
      </w:pPr>
      <w:r>
        <w:rPr>
          <w:rFonts w:hint="eastAsia" w:ascii="黑体" w:hAnsi="黑体" w:eastAsia="黑体"/>
          <w:kern w:val="0"/>
          <w:sz w:val="32"/>
          <w:szCs w:val="32"/>
        </w:rPr>
        <w:t>三、报名方式</w:t>
      </w:r>
    </w:p>
    <w:p>
      <w:pPr>
        <w:spacing w:line="480" w:lineRule="exact"/>
        <w:ind w:firstLine="640"/>
        <w:jc w:val="left"/>
        <w:rPr>
          <w:spacing w:val="-4"/>
          <w:kern w:val="0"/>
          <w:szCs w:val="21"/>
        </w:rPr>
      </w:pPr>
      <w:r>
        <w:rPr>
          <w:rFonts w:hint="eastAsia" w:ascii="仿宋" w:hAnsi="仿宋" w:eastAsia="仿宋"/>
          <w:spacing w:val="-4"/>
          <w:kern w:val="0"/>
          <w:sz w:val="32"/>
          <w:szCs w:val="32"/>
        </w:rPr>
        <w:t>符合条件的应聘者须将本人学历、学位证书（已就业的人员，须提供就业单位“同意报考证明”）、身份证及所有相关证书的复印件、报名表（见附表）等材料，并提供学信网下载的学历证书电子注册备案表和学位网下载的学位查询结果，各一式一份送（寄）至湄洲湾职业技术学院人事处，</w:t>
      </w:r>
      <w:r>
        <w:rPr>
          <w:rFonts w:hint="eastAsia" w:ascii="仿宋" w:hAnsi="仿宋" w:eastAsia="仿宋"/>
          <w:spacing w:val="-4"/>
          <w:kern w:val="0"/>
          <w:sz w:val="32"/>
          <w:szCs w:val="32"/>
          <w:lang w:eastAsia="zh-CN"/>
        </w:rPr>
        <w:t>同时将报名材料电子文档发送至</w:t>
      </w:r>
      <w:r>
        <w:rPr>
          <w:rFonts w:hint="eastAsia" w:ascii="仿宋" w:hAnsi="仿宋" w:eastAsia="仿宋"/>
          <w:spacing w:val="-4"/>
          <w:kern w:val="0"/>
          <w:sz w:val="32"/>
          <w:szCs w:val="32"/>
          <w:lang w:val="en-US" w:eastAsia="zh-CN"/>
        </w:rPr>
        <w:t>mzyrsc@163.com。</w:t>
      </w:r>
      <w:r>
        <w:rPr>
          <w:rFonts w:hint="eastAsia" w:ascii="仿宋" w:hAnsi="仿宋" w:eastAsia="仿宋"/>
          <w:spacing w:val="-4"/>
          <w:kern w:val="0"/>
          <w:sz w:val="32"/>
          <w:szCs w:val="32"/>
        </w:rPr>
        <w:t>具体联系方式如下：</w:t>
      </w:r>
    </w:p>
    <w:p>
      <w:pPr>
        <w:spacing w:line="480" w:lineRule="exact"/>
        <w:ind w:firstLine="640"/>
        <w:jc w:val="left"/>
        <w:rPr>
          <w:kern w:val="0"/>
          <w:szCs w:val="21"/>
        </w:rPr>
      </w:pPr>
      <w:r>
        <w:rPr>
          <w:rFonts w:hint="eastAsia" w:ascii="仿宋" w:hAnsi="仿宋" w:eastAsia="仿宋"/>
          <w:kern w:val="0"/>
          <w:sz w:val="32"/>
          <w:szCs w:val="32"/>
        </w:rPr>
        <w:t>联系人：肖老师</w:t>
      </w:r>
    </w:p>
    <w:p>
      <w:pPr>
        <w:spacing w:line="480" w:lineRule="exact"/>
        <w:ind w:firstLine="640"/>
        <w:jc w:val="left"/>
        <w:rPr>
          <w:rFonts w:ascii="仿宋" w:hAnsi="仿宋" w:eastAsia="仿宋"/>
          <w:kern w:val="0"/>
          <w:sz w:val="32"/>
          <w:szCs w:val="32"/>
        </w:rPr>
      </w:pPr>
      <w:r>
        <w:rPr>
          <w:rFonts w:hint="eastAsia" w:ascii="仿宋" w:hAnsi="仿宋" w:eastAsia="仿宋"/>
          <w:kern w:val="0"/>
          <w:sz w:val="32"/>
          <w:szCs w:val="32"/>
        </w:rPr>
        <w:t>联系电话：0594-7658063    邮政编码：351254</w:t>
      </w:r>
    </w:p>
    <w:p>
      <w:pPr>
        <w:spacing w:line="480" w:lineRule="exact"/>
        <w:ind w:firstLine="640"/>
        <w:jc w:val="left"/>
        <w:rPr>
          <w:kern w:val="0"/>
          <w:szCs w:val="21"/>
        </w:rPr>
      </w:pPr>
      <w:r>
        <w:rPr>
          <w:rFonts w:hint="eastAsia" w:ascii="仿宋" w:hAnsi="仿宋" w:eastAsia="仿宋"/>
          <w:kern w:val="0"/>
          <w:sz w:val="32"/>
          <w:szCs w:val="32"/>
        </w:rPr>
        <w:t>联系地址：莆田市仙游县枫亭蔡襄北街1999号（湄洲湾职业技术学院人事处）</w:t>
      </w:r>
    </w:p>
    <w:p>
      <w:pPr>
        <w:spacing w:line="480" w:lineRule="exact"/>
        <w:ind w:firstLine="640"/>
        <w:jc w:val="left"/>
        <w:rPr>
          <w:kern w:val="0"/>
          <w:szCs w:val="21"/>
        </w:rPr>
      </w:pPr>
      <w:r>
        <w:rPr>
          <w:rFonts w:hint="eastAsia" w:ascii="仿宋" w:hAnsi="仿宋" w:eastAsia="仿宋"/>
          <w:kern w:val="0"/>
          <w:sz w:val="32"/>
          <w:szCs w:val="32"/>
        </w:rPr>
        <w:t>应聘人员提供的身份证明和应聘岗位所需的资格材料应真实有效，如发现弄虚作假，取消其应聘资格。</w:t>
      </w:r>
    </w:p>
    <w:p>
      <w:pPr>
        <w:spacing w:line="480" w:lineRule="exact"/>
        <w:ind w:firstLine="640"/>
        <w:jc w:val="left"/>
        <w:rPr>
          <w:kern w:val="0"/>
          <w:szCs w:val="21"/>
        </w:rPr>
      </w:pPr>
      <w:r>
        <w:rPr>
          <w:rFonts w:hint="eastAsia" w:ascii="黑体" w:hAnsi="黑体" w:eastAsia="黑体"/>
          <w:kern w:val="0"/>
          <w:sz w:val="32"/>
          <w:szCs w:val="32"/>
        </w:rPr>
        <w:t>四、报名时间</w:t>
      </w:r>
    </w:p>
    <w:p>
      <w:pPr>
        <w:spacing w:line="480" w:lineRule="exact"/>
        <w:ind w:firstLine="640"/>
        <w:jc w:val="left"/>
        <w:rPr>
          <w:kern w:val="0"/>
          <w:szCs w:val="21"/>
        </w:rPr>
      </w:pPr>
      <w:r>
        <w:rPr>
          <w:rFonts w:hint="eastAsia" w:ascii="仿宋" w:hAnsi="仿宋" w:eastAsia="仿宋"/>
          <w:kern w:val="0"/>
          <w:sz w:val="32"/>
          <w:szCs w:val="32"/>
        </w:rPr>
        <w:t>自发布之日起至2019年7月</w:t>
      </w:r>
      <w:r>
        <w:rPr>
          <w:rFonts w:hint="eastAsia" w:ascii="仿宋" w:hAnsi="仿宋" w:eastAsia="仿宋"/>
          <w:kern w:val="0"/>
          <w:sz w:val="32"/>
          <w:szCs w:val="32"/>
          <w:lang w:val="en-US" w:eastAsia="zh-CN"/>
        </w:rPr>
        <w:t>2</w:t>
      </w:r>
      <w:bookmarkStart w:id="0" w:name="_GoBack"/>
      <w:bookmarkEnd w:id="0"/>
      <w:r>
        <w:rPr>
          <w:rFonts w:hint="eastAsia" w:ascii="仿宋" w:hAnsi="仿宋" w:eastAsia="仿宋"/>
          <w:kern w:val="0"/>
          <w:sz w:val="32"/>
          <w:szCs w:val="32"/>
        </w:rPr>
        <w:t>6日（</w:t>
      </w:r>
      <w:r>
        <w:rPr>
          <w:rFonts w:hint="eastAsia" w:ascii="仿宋" w:hAnsi="仿宋" w:eastAsia="仿宋" w:cs="仿宋"/>
          <w:kern w:val="0"/>
          <w:sz w:val="32"/>
          <w:szCs w:val="32"/>
          <w:shd w:val="clear" w:color="auto" w:fill="FFFFFF"/>
        </w:rPr>
        <w:t>以当地寄出邮戳为准</w:t>
      </w:r>
      <w:r>
        <w:rPr>
          <w:rFonts w:hint="eastAsia" w:ascii="仿宋" w:hAnsi="仿宋" w:eastAsia="仿宋"/>
          <w:kern w:val="0"/>
          <w:sz w:val="32"/>
          <w:szCs w:val="32"/>
        </w:rPr>
        <w:t>），逾期恕不受理。</w:t>
      </w:r>
    </w:p>
    <w:p>
      <w:pPr>
        <w:spacing w:line="480" w:lineRule="exact"/>
        <w:ind w:firstLine="640"/>
        <w:jc w:val="left"/>
        <w:rPr>
          <w:kern w:val="0"/>
          <w:szCs w:val="21"/>
        </w:rPr>
      </w:pPr>
      <w:r>
        <w:rPr>
          <w:rFonts w:hint="eastAsia" w:ascii="黑体" w:hAnsi="黑体" w:eastAsia="黑体"/>
          <w:kern w:val="0"/>
          <w:sz w:val="32"/>
          <w:szCs w:val="32"/>
        </w:rPr>
        <w:t>五、招聘程序</w:t>
      </w:r>
    </w:p>
    <w:p>
      <w:pPr>
        <w:spacing w:line="440" w:lineRule="exact"/>
        <w:ind w:firstLine="641"/>
        <w:jc w:val="left"/>
        <w:rPr>
          <w:kern w:val="0"/>
          <w:szCs w:val="21"/>
        </w:rPr>
      </w:pPr>
      <w:r>
        <w:rPr>
          <w:rFonts w:hint="eastAsia" w:ascii="仿宋" w:hAnsi="仿宋" w:eastAsia="仿宋"/>
          <w:kern w:val="0"/>
          <w:sz w:val="32"/>
          <w:szCs w:val="32"/>
        </w:rPr>
        <w:t>1．对符合条件的报名人员进行资格审查，报名截止5个工作日之内将在学院人事处网站公布符合报名条件的人员名单。</w:t>
      </w:r>
    </w:p>
    <w:p>
      <w:pPr>
        <w:spacing w:line="440" w:lineRule="exact"/>
        <w:ind w:firstLine="641"/>
        <w:jc w:val="left"/>
        <w:rPr>
          <w:kern w:val="0"/>
          <w:szCs w:val="21"/>
        </w:rPr>
      </w:pPr>
      <w:r>
        <w:rPr>
          <w:rFonts w:hint="eastAsia" w:ascii="仿宋" w:hAnsi="仿宋" w:eastAsia="仿宋"/>
          <w:kern w:val="0"/>
          <w:sz w:val="32"/>
          <w:szCs w:val="32"/>
        </w:rPr>
        <w:t>2．复查所需材料（原件及复印件）有：身份证、毕业证书、学位证书等材料（2019年应届毕业生提供学籍卡等相应证明材料）。</w:t>
      </w:r>
    </w:p>
    <w:p>
      <w:pPr>
        <w:spacing w:line="440" w:lineRule="exact"/>
        <w:ind w:firstLine="641"/>
        <w:jc w:val="left"/>
        <w:rPr>
          <w:spacing w:val="-8"/>
          <w:kern w:val="0"/>
          <w:szCs w:val="21"/>
        </w:rPr>
      </w:pPr>
      <w:r>
        <w:rPr>
          <w:rFonts w:hint="eastAsia" w:ascii="仿宋" w:hAnsi="仿宋" w:eastAsia="仿宋"/>
          <w:spacing w:val="-8"/>
          <w:kern w:val="0"/>
          <w:sz w:val="32"/>
          <w:szCs w:val="32"/>
        </w:rPr>
        <w:t>3．组织人员进行面试。</w:t>
      </w:r>
      <w:r>
        <w:rPr>
          <w:rFonts w:hint="eastAsia" w:ascii="仿宋" w:hAnsi="仿宋" w:eastAsia="仿宋" w:cs="宋体"/>
          <w:color w:val="000000"/>
          <w:kern w:val="0"/>
          <w:sz w:val="30"/>
          <w:szCs w:val="30"/>
        </w:rPr>
        <w:t>面试成绩最低合格线为60分。进入面试人数少于或等于招考人数时（含面试时因其他考生放弃造成1：1比例的），报考者的面试成绩应达到70分以上，方可进入体检和考核。面试</w:t>
      </w:r>
      <w:r>
        <w:rPr>
          <w:rFonts w:hint="eastAsia" w:ascii="仿宋" w:hAnsi="仿宋" w:eastAsia="仿宋"/>
          <w:spacing w:val="-8"/>
          <w:kern w:val="0"/>
          <w:sz w:val="32"/>
          <w:szCs w:val="32"/>
        </w:rPr>
        <w:t>成绩未达到合格线的考生不予聘用。</w:t>
      </w:r>
    </w:p>
    <w:p>
      <w:pPr>
        <w:spacing w:line="440" w:lineRule="exact"/>
        <w:ind w:firstLine="641"/>
        <w:jc w:val="left"/>
        <w:rPr>
          <w:kern w:val="0"/>
          <w:szCs w:val="21"/>
        </w:rPr>
      </w:pPr>
      <w:r>
        <w:rPr>
          <w:rFonts w:hint="eastAsia" w:ascii="仿宋" w:hAnsi="仿宋" w:eastAsia="仿宋"/>
          <w:kern w:val="0"/>
          <w:sz w:val="32"/>
          <w:szCs w:val="32"/>
        </w:rPr>
        <w:t>4．考核方式和内容</w:t>
      </w:r>
    </w:p>
    <w:p>
      <w:pPr>
        <w:spacing w:line="480" w:lineRule="exact"/>
        <w:ind w:firstLine="640"/>
        <w:jc w:val="left"/>
        <w:rPr>
          <w:rFonts w:ascii="仿宋" w:hAnsi="仿宋" w:eastAsia="仿宋"/>
          <w:kern w:val="0"/>
          <w:sz w:val="32"/>
          <w:szCs w:val="32"/>
        </w:rPr>
      </w:pPr>
      <w:r>
        <w:rPr>
          <w:rFonts w:hint="eastAsia" w:ascii="仿宋" w:hAnsi="仿宋" w:eastAsia="仿宋"/>
          <w:kern w:val="0"/>
          <w:sz w:val="32"/>
          <w:szCs w:val="32"/>
        </w:rPr>
        <w:t>1.考核方式：</w:t>
      </w:r>
    </w:p>
    <w:p>
      <w:pPr>
        <w:spacing w:line="480" w:lineRule="exact"/>
        <w:ind w:firstLine="640"/>
        <w:jc w:val="left"/>
        <w:rPr>
          <w:rFonts w:ascii="仿宋" w:hAnsi="仿宋" w:eastAsia="仿宋"/>
          <w:kern w:val="0"/>
          <w:sz w:val="32"/>
          <w:szCs w:val="32"/>
        </w:rPr>
      </w:pPr>
      <w:r>
        <w:rPr>
          <w:rFonts w:hint="eastAsia" w:ascii="仿宋" w:hAnsi="仿宋" w:eastAsia="仿宋"/>
          <w:kern w:val="0"/>
          <w:sz w:val="32"/>
          <w:szCs w:val="32"/>
        </w:rPr>
        <w:t>（1）教师岗位采取片段教学；</w:t>
      </w:r>
    </w:p>
    <w:p>
      <w:pPr>
        <w:spacing w:line="480" w:lineRule="exact"/>
        <w:ind w:firstLine="640"/>
        <w:jc w:val="left"/>
        <w:rPr>
          <w:rFonts w:ascii="仿宋" w:hAnsi="仿宋" w:eastAsia="仿宋"/>
          <w:kern w:val="0"/>
          <w:sz w:val="32"/>
          <w:szCs w:val="32"/>
        </w:rPr>
      </w:pPr>
      <w:r>
        <w:rPr>
          <w:rFonts w:hint="eastAsia" w:ascii="仿宋" w:hAnsi="仿宋" w:eastAsia="仿宋"/>
          <w:kern w:val="0"/>
          <w:sz w:val="32"/>
          <w:szCs w:val="32"/>
        </w:rPr>
        <w:t>（2）其他岗位采取结构化面试。</w:t>
      </w:r>
    </w:p>
    <w:p>
      <w:pPr>
        <w:spacing w:line="480" w:lineRule="exact"/>
        <w:ind w:firstLine="640"/>
        <w:jc w:val="left"/>
        <w:rPr>
          <w:rFonts w:ascii="仿宋" w:hAnsi="仿宋" w:eastAsia="仿宋"/>
          <w:kern w:val="0"/>
          <w:sz w:val="32"/>
          <w:szCs w:val="32"/>
        </w:rPr>
      </w:pPr>
      <w:r>
        <w:rPr>
          <w:rFonts w:hint="eastAsia" w:ascii="仿宋" w:hAnsi="仿宋" w:eastAsia="仿宋"/>
          <w:kern w:val="0"/>
          <w:sz w:val="32"/>
          <w:szCs w:val="32"/>
        </w:rPr>
        <w:t>2.内容要求：</w:t>
      </w:r>
    </w:p>
    <w:p>
      <w:pPr>
        <w:spacing w:line="480" w:lineRule="exact"/>
        <w:ind w:firstLine="640"/>
        <w:jc w:val="left"/>
        <w:rPr>
          <w:rFonts w:ascii="仿宋" w:hAnsi="仿宋" w:eastAsia="仿宋"/>
          <w:kern w:val="0"/>
          <w:sz w:val="32"/>
          <w:szCs w:val="32"/>
        </w:rPr>
      </w:pPr>
      <w:r>
        <w:rPr>
          <w:rFonts w:hint="eastAsia" w:ascii="仿宋" w:hAnsi="仿宋" w:eastAsia="仿宋"/>
          <w:kern w:val="0"/>
          <w:sz w:val="32"/>
          <w:szCs w:val="32"/>
        </w:rPr>
        <w:t>（1）教师岗位按应聘岗位的专业要求，由我院指定教材（公开）。应聘者进入考场后，在指定教材中抽签确定章、节，备课时间30分钟，授课时间约15分钟。</w:t>
      </w:r>
    </w:p>
    <w:p>
      <w:pPr>
        <w:spacing w:line="480" w:lineRule="exact"/>
        <w:ind w:firstLine="640"/>
        <w:jc w:val="left"/>
        <w:rPr>
          <w:rFonts w:ascii="仿宋" w:hAnsi="仿宋" w:eastAsia="仿宋"/>
          <w:kern w:val="0"/>
          <w:sz w:val="32"/>
          <w:szCs w:val="32"/>
        </w:rPr>
      </w:pPr>
    </w:p>
    <w:tbl>
      <w:tblPr>
        <w:tblW w:w="10044"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588"/>
        <w:gridCol w:w="1284"/>
        <w:gridCol w:w="2031"/>
        <w:gridCol w:w="2304"/>
        <w:gridCol w:w="1134"/>
        <w:gridCol w:w="1387"/>
        <w:gridCol w:w="1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tblHeader/>
          <w:jc w:val="center"/>
        </w:trPr>
        <w:tc>
          <w:tcPr>
            <w:tcW w:w="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序号</w:t>
            </w:r>
          </w:p>
        </w:tc>
        <w:tc>
          <w:tcPr>
            <w:tcW w:w="128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岗位</w:t>
            </w:r>
          </w:p>
        </w:tc>
        <w:tc>
          <w:tcPr>
            <w:tcW w:w="203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教材名称</w:t>
            </w:r>
          </w:p>
        </w:tc>
        <w:tc>
          <w:tcPr>
            <w:tcW w:w="230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刊号</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主编</w:t>
            </w:r>
          </w:p>
        </w:tc>
        <w:tc>
          <w:tcPr>
            <w:tcW w:w="138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出版社</w:t>
            </w:r>
          </w:p>
        </w:tc>
        <w:tc>
          <w:tcPr>
            <w:tcW w:w="131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出版时间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tblHeader/>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12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办公室文员</w:t>
            </w:r>
          </w:p>
        </w:tc>
        <w:tc>
          <w:tcPr>
            <w:tcW w:w="8172" w:type="dxa"/>
            <w:gridSpan w:val="5"/>
            <w:tcBorders>
              <w:top w:val="nil"/>
              <w:left w:val="nil"/>
              <w:bottom w:val="single" w:color="auto" w:sz="4" w:space="0"/>
              <w:right w:val="single" w:color="auto" w:sz="4" w:space="0"/>
            </w:tcBorders>
            <w:vAlign w:val="center"/>
          </w:tcPr>
          <w:p>
            <w:pPr>
              <w:widowControl/>
              <w:rPr>
                <w:rFonts w:ascii="仿宋" w:hAnsi="仿宋" w:eastAsia="仿宋" w:cs="宋体"/>
                <w:color w:val="000000"/>
                <w:kern w:val="0"/>
                <w:sz w:val="22"/>
                <w:szCs w:val="22"/>
              </w:rPr>
            </w:pPr>
            <w:r>
              <w:rPr>
                <w:rFonts w:hint="eastAsia" w:ascii="仿宋" w:hAnsi="仿宋" w:eastAsia="仿宋" w:cs="宋体"/>
                <w:color w:val="000000"/>
                <w:kern w:val="0"/>
                <w:sz w:val="22"/>
                <w:szCs w:val="22"/>
              </w:rPr>
              <w:t>结构化面试（考核综合分析能力，语言表达能力，应变能力，计划、组织、协调能力，人际交往意识与技巧等）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93" w:hRule="atLeast"/>
          <w:tblHeader/>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w:t>
            </w:r>
          </w:p>
        </w:tc>
        <w:tc>
          <w:tcPr>
            <w:tcW w:w="12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后勤管理</w:t>
            </w:r>
          </w:p>
        </w:tc>
        <w:tc>
          <w:tcPr>
            <w:tcW w:w="8172" w:type="dxa"/>
            <w:gridSpan w:val="5"/>
            <w:tcBorders>
              <w:top w:val="nil"/>
              <w:left w:val="nil"/>
              <w:bottom w:val="single" w:color="auto" w:sz="4" w:space="0"/>
              <w:right w:val="single" w:color="auto" w:sz="4" w:space="0"/>
            </w:tcBorders>
            <w:vAlign w:val="center"/>
          </w:tcPr>
          <w:p>
            <w:pPr>
              <w:widowControl/>
              <w:rPr>
                <w:rFonts w:ascii="仿宋" w:hAnsi="仿宋" w:eastAsia="仿宋" w:cs="宋体"/>
                <w:color w:val="000000"/>
                <w:kern w:val="0"/>
                <w:sz w:val="22"/>
                <w:szCs w:val="22"/>
              </w:rPr>
            </w:pPr>
            <w:r>
              <w:rPr>
                <w:rFonts w:hint="eastAsia" w:ascii="仿宋" w:hAnsi="仿宋" w:eastAsia="仿宋" w:cs="宋体"/>
                <w:color w:val="000000"/>
                <w:kern w:val="0"/>
                <w:sz w:val="22"/>
                <w:szCs w:val="22"/>
              </w:rPr>
              <w:t>结构化面试（考核综合分析能力，语言表达能力，应变能力，计划、组织、协调能力，人际交往意识与技巧等）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tblHeader/>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3</w:t>
            </w:r>
          </w:p>
        </w:tc>
        <w:tc>
          <w:tcPr>
            <w:tcW w:w="12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护理学科教师</w:t>
            </w:r>
          </w:p>
        </w:tc>
        <w:tc>
          <w:tcPr>
            <w:tcW w:w="203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《助产学》</w:t>
            </w:r>
          </w:p>
        </w:tc>
        <w:tc>
          <w:tcPr>
            <w:tcW w:w="230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ISBN：978-7-1172-4431-2</w:t>
            </w:r>
          </w:p>
        </w:tc>
        <w:tc>
          <w:tcPr>
            <w:tcW w:w="113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余艳红、</w:t>
            </w:r>
          </w:p>
          <w:p>
            <w:pPr>
              <w:widowControl/>
              <w:jc w:val="left"/>
              <w:rPr>
                <w:rFonts w:ascii="仿宋" w:hAnsi="仿宋" w:eastAsia="仿宋" w:cs="宋体"/>
                <w:color w:val="000000"/>
                <w:kern w:val="0"/>
                <w:szCs w:val="21"/>
              </w:rPr>
            </w:pPr>
            <w:r>
              <w:rPr>
                <w:rFonts w:hint="eastAsia" w:ascii="仿宋" w:hAnsi="仿宋" w:eastAsia="仿宋" w:cs="宋体"/>
                <w:color w:val="000000"/>
                <w:kern w:val="0"/>
                <w:sz w:val="22"/>
                <w:szCs w:val="22"/>
              </w:rPr>
              <w:t>陈叙</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人民卫生出版社</w:t>
            </w:r>
          </w:p>
        </w:tc>
        <w:tc>
          <w:tcPr>
            <w:tcW w:w="1316"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2017-08-01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41" w:hRule="atLeast"/>
          <w:tblHeader/>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w:t>
            </w:r>
          </w:p>
        </w:tc>
        <w:tc>
          <w:tcPr>
            <w:tcW w:w="12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临床学科教师</w:t>
            </w:r>
          </w:p>
        </w:tc>
        <w:tc>
          <w:tcPr>
            <w:tcW w:w="203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《人体解剖学与组织胚胎学》第8版</w:t>
            </w:r>
          </w:p>
        </w:tc>
        <w:tc>
          <w:tcPr>
            <w:tcW w:w="230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ISBN：978-7-1172-7027-4</w:t>
            </w:r>
          </w:p>
        </w:tc>
        <w:tc>
          <w:tcPr>
            <w:tcW w:w="113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吴建清、</w:t>
            </w:r>
          </w:p>
          <w:p>
            <w:pPr>
              <w:widowControl/>
              <w:jc w:val="left"/>
              <w:rPr>
                <w:rFonts w:ascii="仿宋" w:hAnsi="仿宋" w:eastAsia="仿宋" w:cs="宋体"/>
                <w:color w:val="000000"/>
                <w:kern w:val="0"/>
                <w:szCs w:val="21"/>
              </w:rPr>
            </w:pPr>
            <w:r>
              <w:rPr>
                <w:rFonts w:hint="eastAsia" w:ascii="仿宋" w:hAnsi="仿宋" w:eastAsia="仿宋" w:cs="宋体"/>
                <w:color w:val="000000"/>
                <w:kern w:val="0"/>
                <w:sz w:val="22"/>
                <w:szCs w:val="22"/>
              </w:rPr>
              <w:t>徐冶</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人民卫生出版社</w:t>
            </w:r>
          </w:p>
        </w:tc>
        <w:tc>
          <w:tcPr>
            <w:tcW w:w="1316"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2018-12-01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55" w:hRule="atLeast"/>
          <w:tblHeader/>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5</w:t>
            </w:r>
          </w:p>
        </w:tc>
        <w:tc>
          <w:tcPr>
            <w:tcW w:w="12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中医学科教师</w:t>
            </w:r>
          </w:p>
        </w:tc>
        <w:tc>
          <w:tcPr>
            <w:tcW w:w="203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《中医学》</w:t>
            </w:r>
          </w:p>
        </w:tc>
        <w:tc>
          <w:tcPr>
            <w:tcW w:w="230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ISBN：978-7-0305-3596-2</w:t>
            </w:r>
          </w:p>
        </w:tc>
        <w:tc>
          <w:tcPr>
            <w:tcW w:w="113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杨硕平、</w:t>
            </w:r>
          </w:p>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李继安、</w:t>
            </w:r>
          </w:p>
          <w:p>
            <w:pPr>
              <w:widowControl/>
              <w:jc w:val="left"/>
              <w:rPr>
                <w:rFonts w:ascii="仿宋" w:hAnsi="仿宋" w:eastAsia="仿宋" w:cs="宋体"/>
                <w:color w:val="000000"/>
                <w:kern w:val="0"/>
                <w:szCs w:val="21"/>
              </w:rPr>
            </w:pPr>
            <w:r>
              <w:rPr>
                <w:rFonts w:hint="eastAsia" w:ascii="仿宋" w:hAnsi="仿宋" w:eastAsia="仿宋" w:cs="宋体"/>
                <w:color w:val="000000"/>
                <w:kern w:val="0"/>
                <w:sz w:val="22"/>
                <w:szCs w:val="22"/>
              </w:rPr>
              <w:t>冯志成</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科学出版社</w:t>
            </w:r>
          </w:p>
        </w:tc>
        <w:tc>
          <w:tcPr>
            <w:tcW w:w="1316"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2017-06-01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tblHeader/>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6</w:t>
            </w:r>
          </w:p>
        </w:tc>
        <w:tc>
          <w:tcPr>
            <w:tcW w:w="12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体育教师1</w:t>
            </w:r>
          </w:p>
        </w:tc>
        <w:tc>
          <w:tcPr>
            <w:tcW w:w="203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《大学生体育与健康》</w:t>
            </w:r>
          </w:p>
        </w:tc>
        <w:tc>
          <w:tcPr>
            <w:tcW w:w="230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ISBN：978-7-5615-5169-1</w:t>
            </w:r>
          </w:p>
        </w:tc>
        <w:tc>
          <w:tcPr>
            <w:tcW w:w="113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 w:val="22"/>
                <w:szCs w:val="22"/>
              </w:rPr>
              <w:t>林德强</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厦门大学出版社</w:t>
            </w:r>
          </w:p>
        </w:tc>
        <w:tc>
          <w:tcPr>
            <w:tcW w:w="1316"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2014-08-01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tblHeader/>
          <w:jc w:val="center"/>
        </w:trPr>
        <w:tc>
          <w:tcPr>
            <w:tcW w:w="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7</w:t>
            </w:r>
          </w:p>
        </w:tc>
        <w:tc>
          <w:tcPr>
            <w:tcW w:w="128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体育教师2</w:t>
            </w:r>
          </w:p>
        </w:tc>
        <w:tc>
          <w:tcPr>
            <w:tcW w:w="203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《大学生体育与健康》</w:t>
            </w:r>
          </w:p>
        </w:tc>
        <w:tc>
          <w:tcPr>
            <w:tcW w:w="230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ISBN：978-7-5615-5169-1</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 w:val="22"/>
                <w:szCs w:val="22"/>
              </w:rPr>
              <w:t>林德强</w:t>
            </w:r>
          </w:p>
        </w:tc>
        <w:tc>
          <w:tcPr>
            <w:tcW w:w="138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厦门大学出版社</w:t>
            </w:r>
          </w:p>
        </w:tc>
        <w:tc>
          <w:tcPr>
            <w:tcW w:w="131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2014-08-01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tblHeader/>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8</w:t>
            </w:r>
          </w:p>
        </w:tc>
        <w:tc>
          <w:tcPr>
            <w:tcW w:w="12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学前专业教师1</w:t>
            </w:r>
          </w:p>
        </w:tc>
        <w:tc>
          <w:tcPr>
            <w:tcW w:w="203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《学前教育学》</w:t>
            </w:r>
          </w:p>
        </w:tc>
        <w:tc>
          <w:tcPr>
            <w:tcW w:w="230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ISBN：978-7-5602-9697-5</w:t>
            </w:r>
          </w:p>
        </w:tc>
        <w:tc>
          <w:tcPr>
            <w:tcW w:w="113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王萍、</w:t>
            </w:r>
          </w:p>
          <w:p>
            <w:pPr>
              <w:widowControl/>
              <w:jc w:val="left"/>
              <w:rPr>
                <w:rFonts w:ascii="仿宋" w:hAnsi="仿宋" w:eastAsia="仿宋" w:cs="宋体"/>
                <w:color w:val="000000"/>
                <w:kern w:val="0"/>
                <w:szCs w:val="21"/>
              </w:rPr>
            </w:pPr>
            <w:r>
              <w:rPr>
                <w:rFonts w:hint="eastAsia" w:ascii="仿宋" w:hAnsi="仿宋" w:eastAsia="仿宋" w:cs="宋体"/>
                <w:color w:val="000000"/>
                <w:kern w:val="0"/>
                <w:sz w:val="22"/>
                <w:szCs w:val="22"/>
              </w:rPr>
              <w:t>万超</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东北师范大学</w:t>
            </w:r>
          </w:p>
        </w:tc>
        <w:tc>
          <w:tcPr>
            <w:tcW w:w="1316"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2014-7-1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tblHeader/>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9</w:t>
            </w:r>
          </w:p>
        </w:tc>
        <w:tc>
          <w:tcPr>
            <w:tcW w:w="12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学前专业心理学教师</w:t>
            </w:r>
          </w:p>
        </w:tc>
        <w:tc>
          <w:tcPr>
            <w:tcW w:w="203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《学前儿童发展心理学》第2版</w:t>
            </w:r>
          </w:p>
        </w:tc>
        <w:tc>
          <w:tcPr>
            <w:tcW w:w="230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ISBN：978-7-5681-3090-5</w:t>
            </w:r>
          </w:p>
        </w:tc>
        <w:tc>
          <w:tcPr>
            <w:tcW w:w="113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 w:val="22"/>
                <w:szCs w:val="22"/>
              </w:rPr>
              <w:t>张文军</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东北师范大学</w:t>
            </w:r>
          </w:p>
        </w:tc>
        <w:tc>
          <w:tcPr>
            <w:tcW w:w="1316"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2017-5-1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tblHeader/>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10</w:t>
            </w:r>
          </w:p>
        </w:tc>
        <w:tc>
          <w:tcPr>
            <w:tcW w:w="12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学前专业舞蹈教师</w:t>
            </w:r>
          </w:p>
        </w:tc>
        <w:tc>
          <w:tcPr>
            <w:tcW w:w="203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《幼儿舞蹈创编》</w:t>
            </w:r>
          </w:p>
        </w:tc>
        <w:tc>
          <w:tcPr>
            <w:tcW w:w="230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ISBN：978-7-0404-2002-9</w:t>
            </w:r>
          </w:p>
        </w:tc>
        <w:tc>
          <w:tcPr>
            <w:tcW w:w="113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 w:val="22"/>
                <w:szCs w:val="22"/>
              </w:rPr>
              <w:t>蔡艳</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高等教育出版社</w:t>
            </w:r>
          </w:p>
        </w:tc>
        <w:tc>
          <w:tcPr>
            <w:tcW w:w="1316"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2015-3-1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tblHeader/>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11</w:t>
            </w:r>
          </w:p>
        </w:tc>
        <w:tc>
          <w:tcPr>
            <w:tcW w:w="12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学前专业声乐教师</w:t>
            </w:r>
          </w:p>
        </w:tc>
        <w:tc>
          <w:tcPr>
            <w:tcW w:w="203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《声乐》(第二版）</w:t>
            </w:r>
          </w:p>
        </w:tc>
        <w:tc>
          <w:tcPr>
            <w:tcW w:w="230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ISBN：978-7-0403-6669-3</w:t>
            </w:r>
          </w:p>
        </w:tc>
        <w:tc>
          <w:tcPr>
            <w:tcW w:w="113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徐浩、</w:t>
            </w:r>
          </w:p>
          <w:p>
            <w:pPr>
              <w:widowControl/>
              <w:jc w:val="left"/>
              <w:rPr>
                <w:rFonts w:ascii="仿宋" w:hAnsi="仿宋" w:eastAsia="仿宋" w:cs="宋体"/>
                <w:color w:val="000000"/>
                <w:kern w:val="0"/>
                <w:szCs w:val="21"/>
              </w:rPr>
            </w:pPr>
            <w:r>
              <w:rPr>
                <w:rFonts w:hint="eastAsia" w:ascii="仿宋" w:hAnsi="仿宋" w:eastAsia="仿宋" w:cs="宋体"/>
                <w:color w:val="000000"/>
                <w:kern w:val="0"/>
                <w:sz w:val="22"/>
                <w:szCs w:val="22"/>
              </w:rPr>
              <w:t>刘世音</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高等教育出版社</w:t>
            </w:r>
          </w:p>
        </w:tc>
        <w:tc>
          <w:tcPr>
            <w:tcW w:w="1316"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2014-8-1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80" w:hRule="atLeast"/>
          <w:tblHeader/>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12</w:t>
            </w:r>
          </w:p>
        </w:tc>
        <w:tc>
          <w:tcPr>
            <w:tcW w:w="12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学前专业教师2</w:t>
            </w:r>
          </w:p>
        </w:tc>
        <w:tc>
          <w:tcPr>
            <w:tcW w:w="203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《学前儿童卫生保健》（第三版）</w:t>
            </w:r>
          </w:p>
        </w:tc>
        <w:tc>
          <w:tcPr>
            <w:tcW w:w="230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ISBN：978-7-0405-0992-2</w:t>
            </w:r>
          </w:p>
        </w:tc>
        <w:tc>
          <w:tcPr>
            <w:tcW w:w="113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郦燕君、</w:t>
            </w:r>
          </w:p>
          <w:p>
            <w:pPr>
              <w:widowControl/>
              <w:jc w:val="left"/>
              <w:rPr>
                <w:rFonts w:ascii="仿宋" w:hAnsi="仿宋" w:eastAsia="仿宋" w:cs="宋体"/>
                <w:color w:val="000000"/>
                <w:kern w:val="0"/>
                <w:szCs w:val="21"/>
              </w:rPr>
            </w:pPr>
            <w:r>
              <w:rPr>
                <w:rFonts w:hint="eastAsia" w:ascii="仿宋" w:hAnsi="仿宋" w:eastAsia="仿宋" w:cs="宋体"/>
                <w:color w:val="000000"/>
                <w:kern w:val="0"/>
                <w:sz w:val="22"/>
                <w:szCs w:val="22"/>
              </w:rPr>
              <w:t>方卫飞</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高等教育出版社</w:t>
            </w:r>
          </w:p>
        </w:tc>
        <w:tc>
          <w:tcPr>
            <w:tcW w:w="1316"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2019-2-1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64" w:hRule="atLeast"/>
          <w:tblHeader/>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13</w:t>
            </w:r>
          </w:p>
        </w:tc>
        <w:tc>
          <w:tcPr>
            <w:tcW w:w="12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学前专业美术教师</w:t>
            </w:r>
          </w:p>
        </w:tc>
        <w:tc>
          <w:tcPr>
            <w:tcW w:w="203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《美术》（第二版）</w:t>
            </w:r>
          </w:p>
        </w:tc>
        <w:tc>
          <w:tcPr>
            <w:tcW w:w="230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ISBN：978-7-0403-6288-6</w:t>
            </w:r>
          </w:p>
        </w:tc>
        <w:tc>
          <w:tcPr>
            <w:tcW w:w="113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张晓嘉、</w:t>
            </w:r>
          </w:p>
          <w:p>
            <w:pPr>
              <w:widowControl/>
              <w:jc w:val="left"/>
              <w:rPr>
                <w:rFonts w:ascii="仿宋" w:hAnsi="仿宋" w:eastAsia="仿宋" w:cs="宋体"/>
                <w:color w:val="000000"/>
                <w:kern w:val="0"/>
                <w:szCs w:val="21"/>
              </w:rPr>
            </w:pPr>
            <w:r>
              <w:rPr>
                <w:rFonts w:hint="eastAsia" w:ascii="仿宋" w:hAnsi="仿宋" w:eastAsia="仿宋" w:cs="宋体"/>
                <w:color w:val="000000"/>
                <w:kern w:val="0"/>
                <w:sz w:val="22"/>
                <w:szCs w:val="22"/>
              </w:rPr>
              <w:t>魏明坤</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高等教育出版社</w:t>
            </w:r>
          </w:p>
        </w:tc>
        <w:tc>
          <w:tcPr>
            <w:tcW w:w="1316"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2014-8-1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88" w:hRule="atLeast"/>
          <w:tblHeader/>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14</w:t>
            </w:r>
          </w:p>
        </w:tc>
        <w:tc>
          <w:tcPr>
            <w:tcW w:w="12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动漫专业教师</w:t>
            </w:r>
          </w:p>
        </w:tc>
        <w:tc>
          <w:tcPr>
            <w:tcW w:w="203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《Maya三维动画基础》</w:t>
            </w:r>
          </w:p>
        </w:tc>
        <w:tc>
          <w:tcPr>
            <w:tcW w:w="230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ISBN：978-7-0403-9845-8</w:t>
            </w:r>
          </w:p>
        </w:tc>
        <w:tc>
          <w:tcPr>
            <w:tcW w:w="113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 w:val="22"/>
                <w:szCs w:val="22"/>
              </w:rPr>
              <w:t>水晶石教育</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高等教育出版社</w:t>
            </w:r>
          </w:p>
        </w:tc>
        <w:tc>
          <w:tcPr>
            <w:tcW w:w="1316"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2016-06-01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08" w:hRule="atLeast"/>
          <w:tblHeader/>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15</w:t>
            </w:r>
          </w:p>
        </w:tc>
        <w:tc>
          <w:tcPr>
            <w:tcW w:w="12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计算机教师</w:t>
            </w:r>
          </w:p>
        </w:tc>
        <w:tc>
          <w:tcPr>
            <w:tcW w:w="203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《Java系统化项目｜开发教程》</w:t>
            </w:r>
          </w:p>
        </w:tc>
        <w:tc>
          <w:tcPr>
            <w:tcW w:w="230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ISBN：978-7-115-47670-8</w:t>
            </w:r>
          </w:p>
        </w:tc>
        <w:tc>
          <w:tcPr>
            <w:tcW w:w="113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古凌岚、</w:t>
            </w:r>
          </w:p>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张婵、</w:t>
            </w:r>
          </w:p>
          <w:p>
            <w:pPr>
              <w:widowControl/>
              <w:jc w:val="left"/>
              <w:rPr>
                <w:rFonts w:ascii="仿宋" w:hAnsi="仿宋" w:eastAsia="仿宋" w:cs="宋体"/>
                <w:color w:val="000000"/>
                <w:kern w:val="0"/>
                <w:szCs w:val="21"/>
              </w:rPr>
            </w:pPr>
            <w:r>
              <w:rPr>
                <w:rFonts w:hint="eastAsia" w:ascii="仿宋" w:hAnsi="仿宋" w:eastAsia="仿宋" w:cs="宋体"/>
                <w:color w:val="000000"/>
                <w:kern w:val="0"/>
                <w:sz w:val="22"/>
                <w:szCs w:val="22"/>
              </w:rPr>
              <w:t>罗佳</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人民邮电出版社</w:t>
            </w:r>
          </w:p>
        </w:tc>
        <w:tc>
          <w:tcPr>
            <w:tcW w:w="1316"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2018-02-01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66" w:hRule="atLeast"/>
          <w:tblHeader/>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16</w:t>
            </w:r>
          </w:p>
        </w:tc>
        <w:tc>
          <w:tcPr>
            <w:tcW w:w="12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工艺、建筑专业教师</w:t>
            </w:r>
          </w:p>
        </w:tc>
        <w:tc>
          <w:tcPr>
            <w:tcW w:w="203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《立体构成》</w:t>
            </w:r>
          </w:p>
        </w:tc>
        <w:tc>
          <w:tcPr>
            <w:tcW w:w="230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ISBN：978-7-5486-0436-5</w:t>
            </w:r>
          </w:p>
        </w:tc>
        <w:tc>
          <w:tcPr>
            <w:tcW w:w="113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段卫斌、</w:t>
            </w:r>
          </w:p>
          <w:p>
            <w:pPr>
              <w:widowControl/>
              <w:jc w:val="left"/>
              <w:rPr>
                <w:rFonts w:ascii="仿宋" w:hAnsi="仿宋" w:eastAsia="仿宋" w:cs="宋体"/>
                <w:color w:val="000000"/>
                <w:kern w:val="0"/>
                <w:szCs w:val="21"/>
              </w:rPr>
            </w:pPr>
            <w:r>
              <w:rPr>
                <w:rFonts w:hint="eastAsia" w:ascii="仿宋" w:hAnsi="仿宋" w:eastAsia="仿宋" w:cs="宋体"/>
                <w:color w:val="000000"/>
                <w:kern w:val="0"/>
                <w:sz w:val="22"/>
                <w:szCs w:val="22"/>
              </w:rPr>
              <w:t>王惠</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学林出版社</w:t>
            </w:r>
          </w:p>
        </w:tc>
        <w:tc>
          <w:tcPr>
            <w:tcW w:w="1316"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2012-11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tblHeader/>
          <w:jc w:val="center"/>
        </w:trPr>
        <w:tc>
          <w:tcPr>
            <w:tcW w:w="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17</w:t>
            </w:r>
          </w:p>
        </w:tc>
        <w:tc>
          <w:tcPr>
            <w:tcW w:w="128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安全工程专业教师</w:t>
            </w:r>
          </w:p>
        </w:tc>
        <w:tc>
          <w:tcPr>
            <w:tcW w:w="203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《建筑消防系统施工与设计》</w:t>
            </w:r>
          </w:p>
        </w:tc>
        <w:tc>
          <w:tcPr>
            <w:tcW w:w="230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ISBN：978-7-565-03831-0</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 w:val="22"/>
                <w:szCs w:val="22"/>
              </w:rPr>
              <w:t>徐群丽</w:t>
            </w:r>
          </w:p>
        </w:tc>
        <w:tc>
          <w:tcPr>
            <w:tcW w:w="138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合肥工业大学出版社</w:t>
            </w:r>
          </w:p>
        </w:tc>
        <w:tc>
          <w:tcPr>
            <w:tcW w:w="131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2018-02-01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tblHeader/>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18</w:t>
            </w:r>
          </w:p>
        </w:tc>
        <w:tc>
          <w:tcPr>
            <w:tcW w:w="12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建筑专业教师</w:t>
            </w:r>
          </w:p>
        </w:tc>
        <w:tc>
          <w:tcPr>
            <w:tcW w:w="203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《建筑构造》</w:t>
            </w:r>
          </w:p>
        </w:tc>
        <w:tc>
          <w:tcPr>
            <w:tcW w:w="230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ISBN：978-7-5611-5942-2</w:t>
            </w:r>
          </w:p>
        </w:tc>
        <w:tc>
          <w:tcPr>
            <w:tcW w:w="113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 w:val="22"/>
                <w:szCs w:val="22"/>
              </w:rPr>
              <w:t>苏炜</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大连理工大学出版社</w:t>
            </w:r>
          </w:p>
        </w:tc>
        <w:tc>
          <w:tcPr>
            <w:tcW w:w="1316"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2011-01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tblHeader/>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19</w:t>
            </w:r>
          </w:p>
        </w:tc>
        <w:tc>
          <w:tcPr>
            <w:tcW w:w="12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档案管理</w:t>
            </w:r>
          </w:p>
        </w:tc>
        <w:tc>
          <w:tcPr>
            <w:tcW w:w="8172" w:type="dxa"/>
            <w:gridSpan w:val="5"/>
            <w:tcBorders>
              <w:top w:val="nil"/>
              <w:left w:val="nil"/>
              <w:bottom w:val="single" w:color="auto" w:sz="4" w:space="0"/>
              <w:right w:val="single" w:color="auto" w:sz="4" w:space="0"/>
            </w:tcBorders>
            <w:vAlign w:val="center"/>
          </w:tcPr>
          <w:p>
            <w:r>
              <w:rPr>
                <w:rFonts w:hint="eastAsia" w:ascii="仿宋" w:hAnsi="仿宋" w:eastAsia="仿宋" w:cs="宋体"/>
                <w:color w:val="000000"/>
                <w:kern w:val="0"/>
                <w:sz w:val="22"/>
                <w:szCs w:val="22"/>
              </w:rPr>
              <w:t>结构化面试（考核综合分析能力，语言表达能力，应变能力，计划、组织、协调能力，人际交往意识与技巧等）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tblHeader/>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20</w:t>
            </w:r>
          </w:p>
        </w:tc>
        <w:tc>
          <w:tcPr>
            <w:tcW w:w="12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网络管理</w:t>
            </w:r>
          </w:p>
        </w:tc>
        <w:tc>
          <w:tcPr>
            <w:tcW w:w="8172" w:type="dxa"/>
            <w:gridSpan w:val="5"/>
            <w:tcBorders>
              <w:top w:val="nil"/>
              <w:left w:val="nil"/>
              <w:bottom w:val="single" w:color="auto" w:sz="4" w:space="0"/>
              <w:right w:val="single" w:color="auto" w:sz="4" w:space="0"/>
            </w:tcBorders>
            <w:vAlign w:val="center"/>
          </w:tcPr>
          <w:p>
            <w:r>
              <w:rPr>
                <w:rFonts w:hint="eastAsia" w:ascii="仿宋" w:hAnsi="仿宋" w:eastAsia="仿宋" w:cs="宋体"/>
                <w:color w:val="000000"/>
                <w:kern w:val="0"/>
                <w:sz w:val="22"/>
                <w:szCs w:val="22"/>
              </w:rPr>
              <w:t>结构化面试（考核综合分析能力，语言表达能力，应变能力，计划、组织、协调能力，人际交往意识与技巧等）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69" w:hRule="atLeast"/>
          <w:tblHeader/>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21</w:t>
            </w:r>
          </w:p>
        </w:tc>
        <w:tc>
          <w:tcPr>
            <w:tcW w:w="12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人事管理</w:t>
            </w:r>
          </w:p>
        </w:tc>
        <w:tc>
          <w:tcPr>
            <w:tcW w:w="8172" w:type="dxa"/>
            <w:gridSpan w:val="5"/>
            <w:tcBorders>
              <w:top w:val="nil"/>
              <w:left w:val="nil"/>
              <w:bottom w:val="single" w:color="auto" w:sz="4" w:space="0"/>
              <w:right w:val="single" w:color="auto" w:sz="4" w:space="0"/>
            </w:tcBorders>
            <w:vAlign w:val="center"/>
          </w:tcPr>
          <w:p>
            <w:r>
              <w:rPr>
                <w:rFonts w:hint="eastAsia" w:ascii="仿宋" w:hAnsi="仿宋" w:eastAsia="仿宋" w:cs="宋体"/>
                <w:color w:val="000000"/>
                <w:kern w:val="0"/>
                <w:sz w:val="22"/>
                <w:szCs w:val="22"/>
              </w:rPr>
              <w:t>结构化面试（考核综合分析能力，语言表达能力，应变能力，计划、组织、协调能力，人际交往意识与技巧等）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48" w:hRule="atLeast"/>
          <w:tblHeader/>
          <w:jc w:val="center"/>
        </w:trPr>
        <w:tc>
          <w:tcPr>
            <w:tcW w:w="58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22</w:t>
            </w:r>
          </w:p>
        </w:tc>
        <w:tc>
          <w:tcPr>
            <w:tcW w:w="128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电子商务专业教师</w:t>
            </w:r>
          </w:p>
        </w:tc>
        <w:tc>
          <w:tcPr>
            <w:tcW w:w="203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《电子商务基础教程》</w:t>
            </w:r>
            <w:r>
              <w:rPr>
                <w:rFonts w:ascii="仿宋" w:hAnsi="仿宋" w:eastAsia="仿宋" w:cs="宋体"/>
                <w:color w:val="000000"/>
                <w:kern w:val="0"/>
                <w:sz w:val="22"/>
                <w:szCs w:val="22"/>
              </w:rPr>
              <w:t xml:space="preserve"> </w:t>
            </w:r>
          </w:p>
        </w:tc>
        <w:tc>
          <w:tcPr>
            <w:tcW w:w="230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ISBN：978-7-115-47493-3</w:t>
            </w:r>
          </w:p>
        </w:tc>
        <w:tc>
          <w:tcPr>
            <w:tcW w:w="113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宋俊骥、</w:t>
            </w:r>
          </w:p>
          <w:p>
            <w:pPr>
              <w:widowControl/>
              <w:jc w:val="left"/>
              <w:rPr>
                <w:rFonts w:ascii="仿宋" w:hAnsi="仿宋" w:eastAsia="仿宋" w:cs="宋体"/>
                <w:color w:val="000000"/>
                <w:kern w:val="0"/>
                <w:szCs w:val="21"/>
              </w:rPr>
            </w:pPr>
            <w:r>
              <w:rPr>
                <w:rFonts w:hint="eastAsia" w:ascii="仿宋" w:hAnsi="仿宋" w:eastAsia="仿宋" w:cs="宋体"/>
                <w:color w:val="000000"/>
                <w:kern w:val="0"/>
                <w:sz w:val="22"/>
                <w:szCs w:val="22"/>
              </w:rPr>
              <w:t>孔华</w:t>
            </w:r>
          </w:p>
        </w:tc>
        <w:tc>
          <w:tcPr>
            <w:tcW w:w="138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人民邮电出版社</w:t>
            </w:r>
          </w:p>
        </w:tc>
        <w:tc>
          <w:tcPr>
            <w:tcW w:w="1316"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2018-08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48" w:hRule="atLeast"/>
          <w:tblHeader/>
          <w:jc w:val="center"/>
        </w:trPr>
        <w:tc>
          <w:tcPr>
            <w:tcW w:w="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23</w:t>
            </w:r>
          </w:p>
        </w:tc>
        <w:tc>
          <w:tcPr>
            <w:tcW w:w="1284"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 w:val="22"/>
                <w:szCs w:val="22"/>
              </w:rPr>
            </w:pPr>
            <w:r>
              <w:rPr>
                <w:rFonts w:hint="eastAsia" w:ascii="仿宋" w:hAnsi="仿宋" w:eastAsia="仿宋"/>
                <w:color w:val="000000"/>
                <w:sz w:val="22"/>
                <w:szCs w:val="22"/>
              </w:rPr>
              <w:t>音乐教师</w:t>
            </w:r>
          </w:p>
        </w:tc>
        <w:tc>
          <w:tcPr>
            <w:tcW w:w="203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《公共艺术（音乐篇）》</w:t>
            </w:r>
          </w:p>
        </w:tc>
        <w:tc>
          <w:tcPr>
            <w:tcW w:w="230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ISBN</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978</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7</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0403</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8064</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4</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刘五华</w:t>
            </w:r>
          </w:p>
        </w:tc>
        <w:tc>
          <w:tcPr>
            <w:tcW w:w="1387"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高等教育出版社</w:t>
            </w:r>
          </w:p>
        </w:tc>
        <w:tc>
          <w:tcPr>
            <w:tcW w:w="131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2013-08-01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48" w:hRule="atLeast"/>
          <w:tblHeader/>
          <w:jc w:val="center"/>
        </w:trPr>
        <w:tc>
          <w:tcPr>
            <w:tcW w:w="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24</w:t>
            </w:r>
          </w:p>
        </w:tc>
        <w:tc>
          <w:tcPr>
            <w:tcW w:w="1284"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 w:val="22"/>
                <w:szCs w:val="22"/>
              </w:rPr>
            </w:pPr>
            <w:r>
              <w:rPr>
                <w:rFonts w:hint="eastAsia" w:ascii="仿宋" w:hAnsi="仿宋" w:eastAsia="仿宋"/>
                <w:color w:val="000000"/>
                <w:sz w:val="22"/>
                <w:szCs w:val="22"/>
              </w:rPr>
              <w:t>艺术教师</w:t>
            </w:r>
          </w:p>
        </w:tc>
        <w:tc>
          <w:tcPr>
            <w:tcW w:w="203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《色彩构成》</w:t>
            </w:r>
          </w:p>
        </w:tc>
        <w:tc>
          <w:tcPr>
            <w:tcW w:w="230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ISBN</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978</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7</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3022</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7328</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8</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于国瑞</w:t>
            </w:r>
          </w:p>
        </w:tc>
        <w:tc>
          <w:tcPr>
            <w:tcW w:w="138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清华大学出版社</w:t>
            </w:r>
          </w:p>
        </w:tc>
        <w:tc>
          <w:tcPr>
            <w:tcW w:w="131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2012-01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48" w:hRule="atLeast"/>
          <w:tblHeader/>
          <w:jc w:val="center"/>
        </w:trPr>
        <w:tc>
          <w:tcPr>
            <w:tcW w:w="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25</w:t>
            </w:r>
          </w:p>
        </w:tc>
        <w:tc>
          <w:tcPr>
            <w:tcW w:w="1284"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 w:val="22"/>
                <w:szCs w:val="22"/>
              </w:rPr>
            </w:pPr>
            <w:r>
              <w:rPr>
                <w:rFonts w:hint="eastAsia" w:ascii="仿宋" w:hAnsi="仿宋" w:eastAsia="仿宋"/>
                <w:color w:val="000000"/>
                <w:sz w:val="22"/>
                <w:szCs w:val="22"/>
              </w:rPr>
              <w:t>体育教师</w:t>
            </w:r>
          </w:p>
        </w:tc>
        <w:tc>
          <w:tcPr>
            <w:tcW w:w="203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《大学生体育与健康》</w:t>
            </w:r>
          </w:p>
        </w:tc>
        <w:tc>
          <w:tcPr>
            <w:tcW w:w="230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ISBN：978-7-5615-5169-1</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 w:val="22"/>
                <w:szCs w:val="22"/>
              </w:rPr>
              <w:t>林德强</w:t>
            </w:r>
          </w:p>
        </w:tc>
        <w:tc>
          <w:tcPr>
            <w:tcW w:w="138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厦门大学出版社</w:t>
            </w:r>
          </w:p>
        </w:tc>
        <w:tc>
          <w:tcPr>
            <w:tcW w:w="131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2"/>
                <w:szCs w:val="22"/>
              </w:rPr>
              <w:t>2014-08-01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48" w:hRule="atLeast"/>
          <w:tblHeader/>
          <w:jc w:val="center"/>
        </w:trPr>
        <w:tc>
          <w:tcPr>
            <w:tcW w:w="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26</w:t>
            </w:r>
          </w:p>
        </w:tc>
        <w:tc>
          <w:tcPr>
            <w:tcW w:w="1284"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 w:val="22"/>
                <w:szCs w:val="22"/>
              </w:rPr>
            </w:pPr>
            <w:r>
              <w:rPr>
                <w:rFonts w:hint="eastAsia" w:ascii="仿宋" w:hAnsi="仿宋" w:eastAsia="仿宋"/>
                <w:color w:val="000000"/>
                <w:sz w:val="22"/>
                <w:szCs w:val="22"/>
              </w:rPr>
              <w:t>设计教师</w:t>
            </w:r>
          </w:p>
        </w:tc>
        <w:tc>
          <w:tcPr>
            <w:tcW w:w="203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《色彩构成》</w:t>
            </w:r>
          </w:p>
        </w:tc>
        <w:tc>
          <w:tcPr>
            <w:tcW w:w="230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ISBN</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978</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7</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3022</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7328</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8</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于国瑞</w:t>
            </w:r>
          </w:p>
        </w:tc>
        <w:tc>
          <w:tcPr>
            <w:tcW w:w="138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清华大学出版社</w:t>
            </w:r>
          </w:p>
        </w:tc>
        <w:tc>
          <w:tcPr>
            <w:tcW w:w="131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2012-01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48" w:hRule="atLeast"/>
          <w:tblHeader/>
          <w:jc w:val="center"/>
        </w:trPr>
        <w:tc>
          <w:tcPr>
            <w:tcW w:w="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27</w:t>
            </w:r>
          </w:p>
        </w:tc>
        <w:tc>
          <w:tcPr>
            <w:tcW w:w="1284"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 w:val="22"/>
                <w:szCs w:val="22"/>
              </w:rPr>
            </w:pPr>
            <w:r>
              <w:rPr>
                <w:rFonts w:hint="eastAsia" w:ascii="仿宋" w:hAnsi="仿宋" w:eastAsia="仿宋"/>
                <w:color w:val="000000"/>
                <w:sz w:val="22"/>
                <w:szCs w:val="22"/>
              </w:rPr>
              <w:t>材料教师</w:t>
            </w:r>
          </w:p>
        </w:tc>
        <w:tc>
          <w:tcPr>
            <w:tcW w:w="203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《无机化学》（第四版）</w:t>
            </w:r>
          </w:p>
        </w:tc>
        <w:tc>
          <w:tcPr>
            <w:tcW w:w="230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ISBN：978-7-1121-4530-7</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党信、</w:t>
            </w:r>
          </w:p>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苏红伟</w:t>
            </w:r>
          </w:p>
        </w:tc>
        <w:tc>
          <w:tcPr>
            <w:tcW w:w="138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化学工业出版社</w:t>
            </w:r>
          </w:p>
        </w:tc>
        <w:tc>
          <w:tcPr>
            <w:tcW w:w="131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2012-09-01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48" w:hRule="atLeast"/>
          <w:tblHeader/>
          <w:jc w:val="center"/>
        </w:trPr>
        <w:tc>
          <w:tcPr>
            <w:tcW w:w="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28</w:t>
            </w:r>
          </w:p>
        </w:tc>
        <w:tc>
          <w:tcPr>
            <w:tcW w:w="1284"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 w:val="22"/>
                <w:szCs w:val="22"/>
              </w:rPr>
            </w:pPr>
            <w:r>
              <w:rPr>
                <w:rFonts w:hint="eastAsia" w:ascii="仿宋" w:hAnsi="仿宋" w:eastAsia="仿宋"/>
                <w:color w:val="000000"/>
                <w:sz w:val="22"/>
                <w:szCs w:val="22"/>
              </w:rPr>
              <w:t>管理干事</w:t>
            </w:r>
          </w:p>
        </w:tc>
        <w:tc>
          <w:tcPr>
            <w:tcW w:w="8172" w:type="dxa"/>
            <w:gridSpan w:val="5"/>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结构化面试（考核综合分析能力，语言表达能力，应变能力，计划、组织、协调能力，人际交往意识与技巧等）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48" w:hRule="atLeast"/>
          <w:tblHeader/>
          <w:jc w:val="center"/>
        </w:trPr>
        <w:tc>
          <w:tcPr>
            <w:tcW w:w="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29</w:t>
            </w:r>
          </w:p>
        </w:tc>
        <w:tc>
          <w:tcPr>
            <w:tcW w:w="1284"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 w:val="22"/>
                <w:szCs w:val="22"/>
              </w:rPr>
            </w:pPr>
            <w:r>
              <w:rPr>
                <w:rFonts w:hint="eastAsia" w:ascii="仿宋" w:hAnsi="仿宋" w:eastAsia="仿宋"/>
                <w:color w:val="000000"/>
                <w:sz w:val="22"/>
                <w:szCs w:val="22"/>
              </w:rPr>
              <w:t>实训指导管理</w:t>
            </w:r>
          </w:p>
        </w:tc>
        <w:tc>
          <w:tcPr>
            <w:tcW w:w="203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《计算机应用基础》</w:t>
            </w:r>
          </w:p>
        </w:tc>
        <w:tc>
          <w:tcPr>
            <w:tcW w:w="230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ISBN</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978</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7</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5068</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2086</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8</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陈世红、张晋立、汪泽平</w:t>
            </w:r>
          </w:p>
        </w:tc>
        <w:tc>
          <w:tcPr>
            <w:tcW w:w="138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中国书籍出版社</w:t>
            </w:r>
          </w:p>
        </w:tc>
        <w:tc>
          <w:tcPr>
            <w:tcW w:w="131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48" w:hRule="atLeast"/>
          <w:tblHeader/>
          <w:jc w:val="center"/>
        </w:trPr>
        <w:tc>
          <w:tcPr>
            <w:tcW w:w="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30</w:t>
            </w:r>
          </w:p>
        </w:tc>
        <w:tc>
          <w:tcPr>
            <w:tcW w:w="1284" w:type="dxa"/>
            <w:tcBorders>
              <w:top w:val="single" w:color="auto" w:sz="4" w:space="0"/>
              <w:left w:val="nil"/>
              <w:bottom w:val="single" w:color="auto" w:sz="4" w:space="0"/>
              <w:right w:val="single" w:color="auto" w:sz="4" w:space="0"/>
            </w:tcBorders>
            <w:vAlign w:val="center"/>
          </w:tcPr>
          <w:p>
            <w:pPr>
              <w:rPr>
                <w:rFonts w:ascii="仿宋" w:hAnsi="仿宋" w:eastAsia="仿宋" w:cs="宋体"/>
                <w:color w:val="000000"/>
                <w:sz w:val="22"/>
                <w:szCs w:val="22"/>
              </w:rPr>
            </w:pPr>
            <w:r>
              <w:rPr>
                <w:rFonts w:hint="eastAsia" w:ascii="仿宋" w:hAnsi="仿宋" w:eastAsia="仿宋"/>
                <w:color w:val="000000"/>
                <w:sz w:val="22"/>
                <w:szCs w:val="22"/>
              </w:rPr>
              <w:t>财务管理</w:t>
            </w:r>
          </w:p>
        </w:tc>
        <w:tc>
          <w:tcPr>
            <w:tcW w:w="8172" w:type="dxa"/>
            <w:gridSpan w:val="5"/>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结构化面试（考核综合分析能力，语言表达能力，应变能力，计划、组织、协调能力，人际交往意识与技巧等）</w:t>
            </w:r>
          </w:p>
        </w:tc>
      </w:tr>
    </w:tbl>
    <w:p>
      <w:pPr>
        <w:spacing w:line="440" w:lineRule="exact"/>
        <w:ind w:firstLine="641"/>
        <w:jc w:val="left"/>
        <w:rPr>
          <w:rFonts w:ascii="仿宋" w:hAnsi="仿宋" w:eastAsia="仿宋" w:cs="仿宋"/>
          <w:kern w:val="0"/>
          <w:sz w:val="32"/>
          <w:szCs w:val="32"/>
          <w:shd w:val="clear" w:color="auto" w:fill="FFFFFF"/>
        </w:rPr>
      </w:pPr>
    </w:p>
    <w:p>
      <w:pPr>
        <w:spacing w:line="440" w:lineRule="exact"/>
        <w:ind w:firstLine="641"/>
        <w:jc w:val="left"/>
        <w:rPr>
          <w:kern w:val="0"/>
          <w:szCs w:val="21"/>
        </w:rPr>
      </w:pPr>
      <w:r>
        <w:rPr>
          <w:rFonts w:hint="eastAsia" w:ascii="仿宋" w:hAnsi="仿宋" w:eastAsia="仿宋"/>
          <w:kern w:val="0"/>
          <w:sz w:val="32"/>
          <w:szCs w:val="32"/>
        </w:rPr>
        <w:t>5．面试的时间、地点另行通知。</w:t>
      </w:r>
    </w:p>
    <w:p>
      <w:pPr>
        <w:spacing w:line="480" w:lineRule="exact"/>
        <w:ind w:firstLine="640"/>
        <w:jc w:val="left"/>
        <w:rPr>
          <w:kern w:val="0"/>
          <w:szCs w:val="21"/>
        </w:rPr>
      </w:pPr>
      <w:r>
        <w:rPr>
          <w:rFonts w:hint="eastAsia" w:ascii="黑体" w:hAnsi="黑体" w:eastAsia="黑体"/>
          <w:kern w:val="0"/>
          <w:sz w:val="32"/>
          <w:szCs w:val="32"/>
        </w:rPr>
        <w:t>六、体检</w:t>
      </w:r>
    </w:p>
    <w:p>
      <w:pPr>
        <w:spacing w:line="440" w:lineRule="exact"/>
        <w:ind w:firstLine="641"/>
        <w:jc w:val="left"/>
        <w:rPr>
          <w:kern w:val="0"/>
          <w:szCs w:val="21"/>
        </w:rPr>
      </w:pPr>
      <w:r>
        <w:rPr>
          <w:rFonts w:hint="eastAsia" w:ascii="仿宋" w:hAnsi="仿宋" w:eastAsia="仿宋"/>
          <w:kern w:val="0"/>
          <w:sz w:val="32"/>
          <w:szCs w:val="32"/>
        </w:rPr>
        <w:t>1．人员确定。根据岗位计划聘用人数，按1：1的比例，在考核成绩合格的人员中，从高分到低分，确定参加体检人选。</w:t>
      </w:r>
    </w:p>
    <w:p>
      <w:pPr>
        <w:spacing w:line="440" w:lineRule="exact"/>
        <w:ind w:firstLine="641"/>
        <w:jc w:val="left"/>
        <w:rPr>
          <w:kern w:val="0"/>
          <w:szCs w:val="21"/>
        </w:rPr>
      </w:pPr>
      <w:r>
        <w:rPr>
          <w:rFonts w:hint="eastAsia" w:ascii="仿宋" w:hAnsi="仿宋" w:eastAsia="仿宋"/>
          <w:kern w:val="0"/>
          <w:sz w:val="32"/>
          <w:szCs w:val="32"/>
        </w:rPr>
        <w:t>2．体检标准。</w:t>
      </w:r>
      <w:r>
        <w:rPr>
          <w:rFonts w:hint="eastAsia" w:ascii="仿宋_GB2312" w:hAnsi="仿宋_GB2312" w:eastAsia="仿宋_GB2312" w:cs="仿宋_GB2312"/>
          <w:sz w:val="32"/>
          <w:szCs w:val="32"/>
        </w:rPr>
        <w:t>体检标准参照《福建省教师资格申请人员体检标准及办法（2018年修订》执行。</w:t>
      </w:r>
      <w:r>
        <w:rPr>
          <w:rFonts w:hint="eastAsia" w:ascii="仿宋" w:hAnsi="仿宋" w:eastAsia="仿宋"/>
          <w:kern w:val="0"/>
          <w:sz w:val="32"/>
          <w:szCs w:val="32"/>
        </w:rPr>
        <w:t>体检医院为县级以上医院。考生对体检结果有疑问的，可在得知体检结论的7天内提出复检，允许申请复检一次，并以复检结果为准。</w:t>
      </w:r>
    </w:p>
    <w:p>
      <w:pPr>
        <w:spacing w:line="440" w:lineRule="exact"/>
        <w:ind w:firstLine="641"/>
        <w:jc w:val="left"/>
        <w:rPr>
          <w:kern w:val="0"/>
          <w:szCs w:val="21"/>
        </w:rPr>
      </w:pPr>
      <w:r>
        <w:rPr>
          <w:rFonts w:hint="eastAsia" w:ascii="仿宋" w:hAnsi="仿宋" w:eastAsia="仿宋"/>
          <w:kern w:val="0"/>
          <w:sz w:val="32"/>
          <w:szCs w:val="32"/>
        </w:rPr>
        <w:t>3．体检组织：由招聘单位主管部门负责。体检缺席者，取消聘用资格。</w:t>
      </w:r>
    </w:p>
    <w:p>
      <w:pPr>
        <w:spacing w:line="480" w:lineRule="exact"/>
        <w:ind w:firstLine="641"/>
        <w:jc w:val="left"/>
        <w:rPr>
          <w:kern w:val="0"/>
          <w:szCs w:val="21"/>
        </w:rPr>
      </w:pPr>
      <w:r>
        <w:rPr>
          <w:rFonts w:hint="eastAsia" w:ascii="黑体" w:hAnsi="黑体" w:eastAsia="黑体"/>
          <w:kern w:val="0"/>
          <w:sz w:val="32"/>
          <w:szCs w:val="32"/>
        </w:rPr>
        <w:t>七、政审</w:t>
      </w:r>
    </w:p>
    <w:p>
      <w:pPr>
        <w:spacing w:line="480" w:lineRule="exact"/>
        <w:ind w:firstLine="641"/>
        <w:jc w:val="left"/>
        <w:rPr>
          <w:kern w:val="0"/>
          <w:szCs w:val="21"/>
        </w:rPr>
      </w:pPr>
      <w:r>
        <w:rPr>
          <w:rFonts w:hint="eastAsia" w:ascii="仿宋" w:hAnsi="仿宋" w:eastAsia="仿宋"/>
          <w:kern w:val="0"/>
          <w:sz w:val="32"/>
          <w:szCs w:val="32"/>
        </w:rPr>
        <w:t>我院将按1：1比例对考核、体检均合格的应聘者组织政审。重点审查应聘人员的思想政治表现、道德品质、业务能力、工作实绩、计划生育等情况。</w:t>
      </w:r>
    </w:p>
    <w:p>
      <w:pPr>
        <w:spacing w:line="480" w:lineRule="exact"/>
        <w:ind w:firstLine="641"/>
        <w:jc w:val="left"/>
        <w:rPr>
          <w:kern w:val="0"/>
          <w:szCs w:val="21"/>
        </w:rPr>
      </w:pPr>
      <w:r>
        <w:rPr>
          <w:rFonts w:hint="eastAsia" w:ascii="黑体" w:hAnsi="黑体" w:eastAsia="黑体"/>
          <w:kern w:val="0"/>
          <w:sz w:val="32"/>
          <w:szCs w:val="32"/>
        </w:rPr>
        <w:t>八、聘用、递补</w:t>
      </w:r>
    </w:p>
    <w:p>
      <w:pPr>
        <w:spacing w:line="480" w:lineRule="exact"/>
        <w:ind w:firstLine="641"/>
        <w:jc w:val="left"/>
        <w:rPr>
          <w:kern w:val="0"/>
          <w:szCs w:val="21"/>
        </w:rPr>
      </w:pPr>
      <w:r>
        <w:rPr>
          <w:rFonts w:hint="eastAsia" w:ascii="仿宋" w:hAnsi="仿宋" w:eastAsia="仿宋"/>
          <w:kern w:val="0"/>
          <w:sz w:val="32"/>
          <w:szCs w:val="32"/>
        </w:rPr>
        <w:t>我院按规定的条件、程序和标准，集体研究确定考核成绩、体检结果和政审情况都合格的人员为拟聘用人选，并报送市人社局在相关网站公示5个工作日，经公示不影响聘用的，市市人社局予以核准。</w:t>
      </w:r>
    </w:p>
    <w:p>
      <w:pPr>
        <w:spacing w:line="480" w:lineRule="exact"/>
        <w:ind w:firstLine="641"/>
        <w:jc w:val="left"/>
        <w:rPr>
          <w:kern w:val="0"/>
          <w:szCs w:val="21"/>
        </w:rPr>
      </w:pPr>
      <w:r>
        <w:rPr>
          <w:rFonts w:hint="eastAsia" w:ascii="仿宋" w:hAnsi="仿宋" w:eastAsia="仿宋"/>
          <w:kern w:val="0"/>
          <w:sz w:val="32"/>
          <w:szCs w:val="32"/>
        </w:rPr>
        <w:t>放弃聘用、体检或政审不合格的，原则上按合格线上应聘者考核成绩从高到低依次递补。</w:t>
      </w:r>
    </w:p>
    <w:p>
      <w:pPr>
        <w:spacing w:line="480" w:lineRule="exact"/>
        <w:ind w:firstLine="640"/>
        <w:jc w:val="left"/>
        <w:rPr>
          <w:kern w:val="0"/>
          <w:szCs w:val="21"/>
        </w:rPr>
      </w:pPr>
      <w:r>
        <w:rPr>
          <w:rFonts w:hint="eastAsia" w:ascii="黑体" w:hAnsi="黑体" w:eastAsia="黑体"/>
          <w:kern w:val="0"/>
          <w:sz w:val="32"/>
          <w:szCs w:val="32"/>
        </w:rPr>
        <w:t>九、其他事项</w:t>
      </w:r>
    </w:p>
    <w:p>
      <w:pPr>
        <w:spacing w:line="480" w:lineRule="exact"/>
        <w:ind w:firstLine="640"/>
        <w:jc w:val="left"/>
        <w:rPr>
          <w:kern w:val="0"/>
          <w:szCs w:val="21"/>
        </w:rPr>
      </w:pPr>
      <w:r>
        <w:rPr>
          <w:rFonts w:hint="eastAsia" w:ascii="仿宋" w:hAnsi="仿宋" w:eastAsia="仿宋"/>
          <w:kern w:val="0"/>
          <w:sz w:val="32"/>
          <w:szCs w:val="32"/>
        </w:rPr>
        <w:t>通过招聘程序所确定的拟聘用人选，必须在规定的时间期限内获得相应的学位证书和毕业证书，否则取消聘用资格。</w:t>
      </w:r>
    </w:p>
    <w:p>
      <w:pPr>
        <w:spacing w:line="480" w:lineRule="exact"/>
        <w:ind w:firstLine="640"/>
        <w:jc w:val="left"/>
        <w:rPr>
          <w:kern w:val="0"/>
          <w:szCs w:val="21"/>
        </w:rPr>
      </w:pPr>
      <w:r>
        <w:rPr>
          <w:rFonts w:hint="eastAsia" w:ascii="仿宋" w:hAnsi="仿宋" w:eastAsia="仿宋"/>
          <w:kern w:val="0"/>
          <w:sz w:val="32"/>
          <w:szCs w:val="32"/>
        </w:rPr>
        <w:t>招聘全过程由湄洲湾职业技术学院纪检部门参与监督。</w:t>
      </w:r>
    </w:p>
    <w:p>
      <w:pPr>
        <w:spacing w:line="480" w:lineRule="exact"/>
        <w:ind w:firstLine="640"/>
        <w:jc w:val="left"/>
        <w:rPr>
          <w:kern w:val="0"/>
          <w:szCs w:val="21"/>
        </w:rPr>
      </w:pPr>
      <w:r>
        <w:rPr>
          <w:rFonts w:hint="eastAsia" w:ascii="仿宋" w:hAnsi="仿宋" w:eastAsia="仿宋"/>
          <w:kern w:val="0"/>
          <w:sz w:val="32"/>
          <w:szCs w:val="32"/>
        </w:rPr>
        <w:t>被聘用人员的工资、福利待遇按国家有关规定执行。</w:t>
      </w:r>
    </w:p>
    <w:p>
      <w:pPr>
        <w:spacing w:line="480" w:lineRule="exact"/>
        <w:ind w:firstLine="608"/>
        <w:jc w:val="left"/>
        <w:rPr>
          <w:rFonts w:ascii="仿宋" w:hAnsi="仿宋" w:eastAsia="仿宋"/>
          <w:spacing w:val="-12"/>
          <w:kern w:val="0"/>
          <w:sz w:val="32"/>
          <w:szCs w:val="32"/>
        </w:rPr>
      </w:pPr>
      <w:r>
        <w:rPr>
          <w:rFonts w:hint="eastAsia" w:ascii="仿宋" w:hAnsi="仿宋" w:eastAsia="仿宋"/>
          <w:spacing w:val="-12"/>
          <w:kern w:val="0"/>
          <w:sz w:val="32"/>
          <w:szCs w:val="32"/>
        </w:rPr>
        <w:t>拟聘用人选签订聘用合同后，必须与所在单位服务满五年以上。</w:t>
      </w:r>
    </w:p>
    <w:p>
      <w:pPr>
        <w:spacing w:line="480" w:lineRule="exact"/>
        <w:ind w:firstLine="608"/>
        <w:jc w:val="left"/>
        <w:rPr>
          <w:rFonts w:ascii="仿宋" w:hAnsi="仿宋" w:eastAsia="仿宋"/>
          <w:spacing w:val="-8"/>
          <w:kern w:val="0"/>
          <w:sz w:val="32"/>
          <w:szCs w:val="32"/>
        </w:rPr>
        <w:sectPr>
          <w:footerReference r:id="rId4" w:type="default"/>
          <w:pgSz w:w="11906" w:h="16838"/>
          <w:pgMar w:top="1440" w:right="1418" w:bottom="1440" w:left="1800" w:header="851" w:footer="992" w:gutter="0"/>
          <w:cols w:space="720" w:num="1"/>
          <w:titlePg/>
          <w:docGrid w:type="lines" w:linePitch="312" w:charSpace="0"/>
        </w:sectPr>
      </w:pPr>
    </w:p>
    <w:p>
      <w:pPr>
        <w:spacing w:line="480" w:lineRule="exact"/>
        <w:ind w:right="-153"/>
        <w:jc w:val="left"/>
        <w:rPr>
          <w:kern w:val="0"/>
          <w:szCs w:val="21"/>
        </w:rPr>
      </w:pPr>
      <w:r>
        <w:rPr>
          <w:rFonts w:hint="eastAsia" w:ascii="楷体_GB2312" w:eastAsia="楷体_GB2312"/>
          <w:b/>
          <w:bCs/>
          <w:spacing w:val="-18"/>
          <w:kern w:val="0"/>
          <w:sz w:val="28"/>
          <w:szCs w:val="28"/>
        </w:rPr>
        <w:t>附表</w:t>
      </w:r>
    </w:p>
    <w:p>
      <w:pPr>
        <w:spacing w:line="480" w:lineRule="exact"/>
        <w:ind w:right="-153"/>
        <w:jc w:val="center"/>
        <w:rPr>
          <w:kern w:val="0"/>
          <w:szCs w:val="21"/>
        </w:rPr>
      </w:pPr>
      <w:r>
        <w:rPr>
          <w:rFonts w:hint="eastAsia" w:ascii="黑体" w:hAnsi="黑体" w:eastAsia="黑体"/>
          <w:kern w:val="0"/>
          <w:sz w:val="32"/>
          <w:szCs w:val="32"/>
        </w:rPr>
        <w:t>湄洲湾职业技术学院人员公开招聘报名表</w:t>
      </w:r>
    </w:p>
    <w:p>
      <w:pPr>
        <w:spacing w:line="480" w:lineRule="exact"/>
        <w:jc w:val="left"/>
        <w:rPr>
          <w:kern w:val="0"/>
          <w:szCs w:val="21"/>
        </w:rPr>
      </w:pPr>
    </w:p>
    <w:tbl>
      <w:tblPr>
        <w:tblW w:w="92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426"/>
        <w:gridCol w:w="1484"/>
        <w:gridCol w:w="720"/>
        <w:gridCol w:w="236"/>
        <w:gridCol w:w="1046"/>
        <w:gridCol w:w="118"/>
        <w:gridCol w:w="1116"/>
        <w:gridCol w:w="735"/>
        <w:gridCol w:w="525"/>
        <w:gridCol w:w="601"/>
        <w:gridCol w:w="1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cantSplit/>
          <w:trHeight w:val="501" w:hRule="atLeast"/>
          <w:jc w:val="center"/>
        </w:trPr>
        <w:tc>
          <w:tcPr>
            <w:tcW w:w="14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kern w:val="0"/>
                <w:sz w:val="24"/>
              </w:rPr>
              <w:t>姓  名</w:t>
            </w:r>
          </w:p>
        </w:tc>
        <w:tc>
          <w:tcPr>
            <w:tcW w:w="14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left"/>
              <w:rPr>
                <w:kern w:val="0"/>
                <w:szCs w:val="21"/>
              </w:rPr>
            </w:pPr>
          </w:p>
        </w:tc>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kern w:val="0"/>
                <w:sz w:val="24"/>
              </w:rPr>
              <w:t>性别</w:t>
            </w:r>
          </w:p>
        </w:tc>
        <w:tc>
          <w:tcPr>
            <w:tcW w:w="128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left"/>
              <w:rPr>
                <w:kern w:val="0"/>
                <w:szCs w:val="21"/>
              </w:rPr>
            </w:pPr>
          </w:p>
        </w:tc>
        <w:tc>
          <w:tcPr>
            <w:tcW w:w="1234"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kern w:val="0"/>
                <w:sz w:val="24"/>
              </w:rPr>
              <w:t>民族</w:t>
            </w:r>
          </w:p>
        </w:tc>
        <w:tc>
          <w:tcPr>
            <w:tcW w:w="126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left"/>
              <w:rPr>
                <w:kern w:val="0"/>
                <w:szCs w:val="21"/>
              </w:rPr>
            </w:pPr>
          </w:p>
        </w:tc>
        <w:tc>
          <w:tcPr>
            <w:tcW w:w="1866"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kern w:val="0"/>
                <w:sz w:val="24"/>
              </w:rPr>
              <w:t>贴</w:t>
            </w:r>
          </w:p>
          <w:p>
            <w:pPr>
              <w:spacing w:line="480" w:lineRule="exact"/>
              <w:jc w:val="center"/>
              <w:rPr>
                <w:kern w:val="0"/>
                <w:szCs w:val="21"/>
              </w:rPr>
            </w:pPr>
            <w:r>
              <w:rPr>
                <w:rFonts w:hint="eastAsia" w:ascii="仿宋" w:hAnsi="仿宋" w:eastAsia="仿宋"/>
                <w:kern w:val="0"/>
                <w:sz w:val="24"/>
              </w:rPr>
              <w:t>相</w:t>
            </w:r>
          </w:p>
          <w:p>
            <w:pPr>
              <w:spacing w:line="480" w:lineRule="exact"/>
              <w:jc w:val="center"/>
              <w:rPr>
                <w:kern w:val="0"/>
                <w:szCs w:val="21"/>
              </w:rPr>
            </w:pPr>
            <w:r>
              <w:rPr>
                <w:rFonts w:hint="eastAsia" w:ascii="仿宋" w:hAnsi="仿宋" w:eastAsia="仿宋"/>
                <w:kern w:val="0"/>
                <w:sz w:val="24"/>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cantSplit/>
          <w:trHeight w:val="501" w:hRule="atLeast"/>
          <w:jc w:val="center"/>
        </w:trPr>
        <w:tc>
          <w:tcPr>
            <w:tcW w:w="14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kern w:val="0"/>
                <w:sz w:val="24"/>
              </w:rPr>
              <w:t>出生年月</w:t>
            </w:r>
          </w:p>
        </w:tc>
        <w:tc>
          <w:tcPr>
            <w:tcW w:w="14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left"/>
              <w:rPr>
                <w:kern w:val="0"/>
                <w:szCs w:val="21"/>
              </w:rPr>
            </w:pPr>
          </w:p>
        </w:tc>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kern w:val="0"/>
                <w:sz w:val="24"/>
              </w:rPr>
              <w:t>籍贯</w:t>
            </w:r>
          </w:p>
        </w:tc>
        <w:tc>
          <w:tcPr>
            <w:tcW w:w="128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left"/>
              <w:rPr>
                <w:kern w:val="0"/>
                <w:szCs w:val="21"/>
              </w:rPr>
            </w:pPr>
          </w:p>
        </w:tc>
        <w:tc>
          <w:tcPr>
            <w:tcW w:w="1234"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spacing w:val="-20"/>
                <w:kern w:val="0"/>
                <w:sz w:val="24"/>
              </w:rPr>
              <w:t>政治面貌</w:t>
            </w:r>
          </w:p>
        </w:tc>
        <w:tc>
          <w:tcPr>
            <w:tcW w:w="126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left"/>
              <w:rPr>
                <w:kern w:val="0"/>
                <w:szCs w:val="21"/>
              </w:rPr>
            </w:pPr>
          </w:p>
        </w:tc>
        <w:tc>
          <w:tcPr>
            <w:tcW w:w="1866" w:type="dxa"/>
            <w:gridSpan w:val="2"/>
            <w:vMerge w:val="continue"/>
            <w:tcBorders>
              <w:top w:val="single" w:color="auto" w:sz="8" w:space="0"/>
              <w:left w:val="single" w:color="auto" w:sz="8" w:space="0"/>
              <w:bottom w:val="single" w:color="auto" w:sz="8" w:space="0"/>
              <w:right w:val="single" w:color="auto" w:sz="8" w:space="0"/>
            </w:tcBorders>
            <w:vAlign w:val="center"/>
          </w:tcPr>
          <w:p>
            <w:pPr>
              <w:spacing w:line="480" w:lineRule="exact"/>
              <w:jc w:val="left"/>
              <w:rPr>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cantSplit/>
          <w:trHeight w:val="501" w:hRule="atLeast"/>
          <w:jc w:val="center"/>
        </w:trPr>
        <w:tc>
          <w:tcPr>
            <w:tcW w:w="14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spacing w:val="-12"/>
                <w:kern w:val="0"/>
                <w:sz w:val="24"/>
              </w:rPr>
              <w:t>现户籍地</w:t>
            </w:r>
          </w:p>
        </w:tc>
        <w:tc>
          <w:tcPr>
            <w:tcW w:w="3486"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left"/>
              <w:rPr>
                <w:kern w:val="0"/>
                <w:szCs w:val="21"/>
              </w:rPr>
            </w:pPr>
            <w:r>
              <w:rPr>
                <w:rFonts w:hint="eastAsia" w:ascii="仿宋" w:hAnsi="仿宋" w:eastAsia="仿宋"/>
                <w:kern w:val="0"/>
                <w:sz w:val="24"/>
              </w:rPr>
              <w:t xml:space="preserve">    省    市    县（区）</w:t>
            </w:r>
          </w:p>
        </w:tc>
        <w:tc>
          <w:tcPr>
            <w:tcW w:w="1234"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spacing w:val="-20"/>
                <w:kern w:val="0"/>
                <w:sz w:val="24"/>
              </w:rPr>
              <w:t>婚姻状况</w:t>
            </w:r>
          </w:p>
        </w:tc>
        <w:tc>
          <w:tcPr>
            <w:tcW w:w="126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spacing w:line="480" w:lineRule="exact"/>
              <w:jc w:val="left"/>
              <w:rPr>
                <w:kern w:val="0"/>
                <w:szCs w:val="21"/>
              </w:rPr>
            </w:pPr>
          </w:p>
        </w:tc>
        <w:tc>
          <w:tcPr>
            <w:tcW w:w="1866" w:type="dxa"/>
            <w:gridSpan w:val="2"/>
            <w:vMerge w:val="continue"/>
            <w:tcBorders>
              <w:top w:val="single" w:color="auto" w:sz="8" w:space="0"/>
              <w:left w:val="single" w:color="auto" w:sz="8" w:space="0"/>
              <w:bottom w:val="single" w:color="auto" w:sz="8" w:space="0"/>
              <w:right w:val="single" w:color="auto" w:sz="8" w:space="0"/>
            </w:tcBorders>
            <w:vAlign w:val="center"/>
          </w:tcPr>
          <w:p>
            <w:pPr>
              <w:spacing w:line="480" w:lineRule="exact"/>
              <w:jc w:val="left"/>
              <w:rPr>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cantSplit/>
          <w:trHeight w:val="501" w:hRule="atLeast"/>
          <w:jc w:val="center"/>
        </w:trPr>
        <w:tc>
          <w:tcPr>
            <w:tcW w:w="14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spacing w:val="-12"/>
                <w:kern w:val="0"/>
                <w:sz w:val="24"/>
              </w:rPr>
              <w:t>身份证号码</w:t>
            </w:r>
          </w:p>
        </w:tc>
        <w:tc>
          <w:tcPr>
            <w:tcW w:w="3486"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left"/>
              <w:rPr>
                <w:kern w:val="0"/>
                <w:szCs w:val="21"/>
              </w:rPr>
            </w:pPr>
          </w:p>
        </w:tc>
        <w:tc>
          <w:tcPr>
            <w:tcW w:w="1234"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spacing w:val="-8"/>
                <w:kern w:val="0"/>
                <w:sz w:val="24"/>
              </w:rPr>
              <w:t>联系电话</w:t>
            </w:r>
          </w:p>
        </w:tc>
        <w:tc>
          <w:tcPr>
            <w:tcW w:w="126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p>
        </w:tc>
        <w:tc>
          <w:tcPr>
            <w:tcW w:w="1866" w:type="dxa"/>
            <w:gridSpan w:val="2"/>
            <w:vMerge w:val="continue"/>
            <w:tcBorders>
              <w:top w:val="single" w:color="auto" w:sz="8" w:space="0"/>
              <w:left w:val="single" w:color="auto" w:sz="8" w:space="0"/>
              <w:bottom w:val="single" w:color="auto" w:sz="8" w:space="0"/>
              <w:right w:val="single" w:color="auto" w:sz="8" w:space="0"/>
            </w:tcBorders>
            <w:vAlign w:val="center"/>
          </w:tcPr>
          <w:p>
            <w:pPr>
              <w:spacing w:line="480" w:lineRule="exact"/>
              <w:jc w:val="left"/>
              <w:rPr>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cantSplit/>
          <w:trHeight w:val="501" w:hRule="atLeast"/>
          <w:jc w:val="center"/>
        </w:trPr>
        <w:tc>
          <w:tcPr>
            <w:tcW w:w="14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kern w:val="0"/>
                <w:sz w:val="24"/>
              </w:rPr>
              <w:t>通讯地址</w:t>
            </w:r>
          </w:p>
        </w:tc>
        <w:tc>
          <w:tcPr>
            <w:tcW w:w="3486"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left"/>
              <w:rPr>
                <w:kern w:val="0"/>
                <w:szCs w:val="21"/>
              </w:rPr>
            </w:pPr>
          </w:p>
        </w:tc>
        <w:tc>
          <w:tcPr>
            <w:tcW w:w="1234"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rFonts w:ascii="仿宋" w:hAnsi="仿宋" w:eastAsia="仿宋"/>
                <w:spacing w:val="-20"/>
                <w:kern w:val="0"/>
                <w:sz w:val="24"/>
              </w:rPr>
            </w:pPr>
            <w:r>
              <w:rPr>
                <w:rFonts w:hint="eastAsia" w:ascii="仿宋" w:hAnsi="仿宋" w:eastAsia="仿宋"/>
                <w:spacing w:val="-20"/>
                <w:kern w:val="0"/>
                <w:sz w:val="24"/>
              </w:rPr>
              <w:t>邮编</w:t>
            </w:r>
          </w:p>
        </w:tc>
        <w:tc>
          <w:tcPr>
            <w:tcW w:w="126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p>
        </w:tc>
        <w:tc>
          <w:tcPr>
            <w:tcW w:w="1866" w:type="dxa"/>
            <w:gridSpan w:val="2"/>
            <w:vMerge w:val="continue"/>
            <w:tcBorders>
              <w:top w:val="single" w:color="auto" w:sz="8" w:space="0"/>
              <w:left w:val="single" w:color="auto" w:sz="8" w:space="0"/>
              <w:bottom w:val="single" w:color="auto" w:sz="8" w:space="0"/>
              <w:right w:val="single" w:color="auto" w:sz="8" w:space="0"/>
            </w:tcBorders>
            <w:vAlign w:val="center"/>
          </w:tcPr>
          <w:p>
            <w:pPr>
              <w:spacing w:line="480" w:lineRule="exact"/>
              <w:jc w:val="left"/>
              <w:rPr>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cantSplit/>
          <w:trHeight w:val="1455" w:hRule="atLeast"/>
          <w:jc w:val="center"/>
        </w:trPr>
        <w:tc>
          <w:tcPr>
            <w:tcW w:w="14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kern w:val="0"/>
                <w:sz w:val="24"/>
              </w:rPr>
              <w:t>何时何校何专业毕业</w:t>
            </w:r>
          </w:p>
        </w:tc>
        <w:tc>
          <w:tcPr>
            <w:tcW w:w="7846"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left"/>
              <w:rPr>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cantSplit/>
          <w:trHeight w:val="501" w:hRule="atLeast"/>
          <w:jc w:val="center"/>
        </w:trPr>
        <w:tc>
          <w:tcPr>
            <w:tcW w:w="14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kern w:val="0"/>
                <w:szCs w:val="21"/>
              </w:rPr>
            </w:pPr>
            <w:r>
              <w:rPr>
                <w:rFonts w:hint="eastAsia" w:ascii="仿宋" w:hAnsi="仿宋" w:eastAsia="仿宋"/>
                <w:spacing w:val="-20"/>
                <w:kern w:val="0"/>
                <w:sz w:val="24"/>
              </w:rPr>
              <w:t>外语等级</w:t>
            </w:r>
          </w:p>
        </w:tc>
        <w:tc>
          <w:tcPr>
            <w:tcW w:w="3486"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kern w:val="0"/>
                <w:szCs w:val="21"/>
              </w:rPr>
            </w:pPr>
          </w:p>
        </w:tc>
        <w:tc>
          <w:tcPr>
            <w:tcW w:w="1234"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kern w:val="0"/>
                <w:szCs w:val="21"/>
              </w:rPr>
            </w:pPr>
            <w:r>
              <w:rPr>
                <w:rFonts w:hint="eastAsia" w:ascii="仿宋" w:hAnsi="仿宋" w:eastAsia="仿宋"/>
                <w:spacing w:val="-20"/>
                <w:kern w:val="0"/>
                <w:sz w:val="24"/>
              </w:rPr>
              <w:t>计算机等级</w:t>
            </w:r>
          </w:p>
        </w:tc>
        <w:tc>
          <w:tcPr>
            <w:tcW w:w="3126"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cantSplit/>
          <w:trHeight w:val="501" w:hRule="atLeast"/>
          <w:jc w:val="center"/>
        </w:trPr>
        <w:tc>
          <w:tcPr>
            <w:tcW w:w="14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kern w:val="0"/>
                <w:szCs w:val="21"/>
              </w:rPr>
            </w:pPr>
            <w:r>
              <w:rPr>
                <w:rFonts w:hint="eastAsia" w:ascii="仿宋" w:hAnsi="仿宋" w:eastAsia="仿宋"/>
                <w:kern w:val="0"/>
                <w:sz w:val="24"/>
              </w:rPr>
              <w:t>原工作单位</w:t>
            </w:r>
          </w:p>
        </w:tc>
        <w:tc>
          <w:tcPr>
            <w:tcW w:w="3486"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kern w:val="0"/>
                <w:szCs w:val="21"/>
              </w:rPr>
            </w:pPr>
          </w:p>
        </w:tc>
        <w:tc>
          <w:tcPr>
            <w:tcW w:w="1234"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kern w:val="0"/>
                <w:szCs w:val="21"/>
              </w:rPr>
            </w:pPr>
            <w:r>
              <w:rPr>
                <w:rFonts w:hint="eastAsia" w:ascii="仿宋" w:hAnsi="仿宋" w:eastAsia="仿宋"/>
                <w:spacing w:val="-20"/>
                <w:kern w:val="0"/>
                <w:sz w:val="24"/>
              </w:rPr>
              <w:t>原单位性质</w:t>
            </w:r>
          </w:p>
        </w:tc>
        <w:tc>
          <w:tcPr>
            <w:tcW w:w="3126"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cantSplit/>
          <w:trHeight w:val="655" w:hRule="atLeast"/>
          <w:jc w:val="center"/>
        </w:trPr>
        <w:tc>
          <w:tcPr>
            <w:tcW w:w="14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kern w:val="0"/>
                <w:szCs w:val="21"/>
              </w:rPr>
            </w:pPr>
            <w:r>
              <w:rPr>
                <w:rFonts w:hint="eastAsia" w:ascii="仿宋" w:hAnsi="仿宋" w:eastAsia="仿宋"/>
                <w:kern w:val="0"/>
                <w:sz w:val="24"/>
              </w:rPr>
              <w:t>应聘岗位</w:t>
            </w:r>
          </w:p>
        </w:tc>
        <w:tc>
          <w:tcPr>
            <w:tcW w:w="7846"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left"/>
              <w:rPr>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cantSplit/>
          <w:trHeight w:val="831" w:hRule="atLeast"/>
          <w:jc w:val="center"/>
        </w:trPr>
        <w:tc>
          <w:tcPr>
            <w:tcW w:w="14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kern w:val="0"/>
                <w:szCs w:val="21"/>
              </w:rPr>
            </w:pPr>
            <w:r>
              <w:rPr>
                <w:rFonts w:hint="eastAsia" w:ascii="仿宋" w:hAnsi="仿宋" w:eastAsia="仿宋"/>
                <w:kern w:val="0"/>
                <w:sz w:val="24"/>
              </w:rPr>
              <w:t>专业技术</w:t>
            </w:r>
          </w:p>
          <w:p>
            <w:pPr>
              <w:spacing w:line="320" w:lineRule="exact"/>
              <w:jc w:val="center"/>
              <w:rPr>
                <w:kern w:val="0"/>
                <w:szCs w:val="21"/>
              </w:rPr>
            </w:pPr>
            <w:r>
              <w:rPr>
                <w:rFonts w:hint="eastAsia" w:ascii="仿宋" w:hAnsi="仿宋" w:eastAsia="仿宋"/>
                <w:kern w:val="0"/>
                <w:sz w:val="24"/>
              </w:rPr>
              <w:t>资格</w:t>
            </w:r>
          </w:p>
        </w:tc>
        <w:tc>
          <w:tcPr>
            <w:tcW w:w="2440"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left"/>
              <w:rPr>
                <w:kern w:val="0"/>
                <w:szCs w:val="21"/>
              </w:rPr>
            </w:pPr>
          </w:p>
        </w:tc>
        <w:tc>
          <w:tcPr>
            <w:tcW w:w="1164"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spacing w:val="-12"/>
                <w:kern w:val="0"/>
                <w:sz w:val="24"/>
              </w:rPr>
              <w:t>职业资格</w:t>
            </w:r>
          </w:p>
        </w:tc>
        <w:tc>
          <w:tcPr>
            <w:tcW w:w="185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left"/>
              <w:rPr>
                <w:kern w:val="0"/>
                <w:szCs w:val="21"/>
              </w:rPr>
            </w:pPr>
          </w:p>
        </w:tc>
        <w:tc>
          <w:tcPr>
            <w:tcW w:w="1126"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spacing w:val="-20"/>
                <w:kern w:val="0"/>
                <w:sz w:val="24"/>
              </w:rPr>
              <w:t>执业资</w:t>
            </w:r>
            <w:r>
              <w:rPr>
                <w:rFonts w:hint="eastAsia" w:ascii="仿宋" w:hAnsi="仿宋" w:eastAsia="仿宋"/>
                <w:kern w:val="0"/>
                <w:sz w:val="24"/>
              </w:rPr>
              <w:t>格</w:t>
            </w:r>
          </w:p>
        </w:tc>
        <w:tc>
          <w:tcPr>
            <w:tcW w:w="12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left"/>
              <w:rPr>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cantSplit/>
          <w:trHeight w:val="974" w:hRule="atLeast"/>
          <w:jc w:val="center"/>
        </w:trPr>
        <w:tc>
          <w:tcPr>
            <w:tcW w:w="14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kern w:val="0"/>
                <w:szCs w:val="21"/>
              </w:rPr>
            </w:pPr>
            <w:r>
              <w:rPr>
                <w:rFonts w:hint="eastAsia" w:ascii="仿宋" w:hAnsi="仿宋" w:eastAsia="仿宋"/>
                <w:spacing w:val="-12"/>
                <w:kern w:val="0"/>
                <w:sz w:val="24"/>
              </w:rPr>
              <w:t>工作情况</w:t>
            </w:r>
            <w:r>
              <w:rPr>
                <w:rFonts w:hint="eastAsia" w:ascii="仿宋" w:hAnsi="仿宋" w:eastAsia="仿宋"/>
                <w:kern w:val="0"/>
                <w:sz w:val="24"/>
              </w:rPr>
              <w:t>及</w:t>
            </w:r>
          </w:p>
          <w:p>
            <w:pPr>
              <w:jc w:val="center"/>
              <w:rPr>
                <w:kern w:val="0"/>
                <w:szCs w:val="21"/>
              </w:rPr>
            </w:pPr>
            <w:r>
              <w:rPr>
                <w:rFonts w:hint="eastAsia" w:ascii="仿宋" w:hAnsi="仿宋" w:eastAsia="仿宋"/>
                <w:kern w:val="0"/>
                <w:sz w:val="24"/>
              </w:rPr>
              <w:t>考核结果</w:t>
            </w:r>
          </w:p>
        </w:tc>
        <w:tc>
          <w:tcPr>
            <w:tcW w:w="7846"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left"/>
              <w:rPr>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cantSplit/>
          <w:trHeight w:val="4404" w:hRule="atLeast"/>
          <w:jc w:val="center"/>
        </w:trPr>
        <w:tc>
          <w:tcPr>
            <w:tcW w:w="14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kern w:val="0"/>
                <w:szCs w:val="21"/>
              </w:rPr>
            </w:pPr>
            <w:r>
              <w:rPr>
                <w:rFonts w:hint="eastAsia" w:ascii="仿宋" w:hAnsi="仿宋" w:eastAsia="仿宋"/>
                <w:kern w:val="0"/>
                <w:sz w:val="24"/>
              </w:rPr>
              <w:t>学习、工作经历（何年何月至何年何月在何地、何单位工作或学习、任何职，从中学开始，按时间先后顺序填写）</w:t>
            </w:r>
          </w:p>
        </w:tc>
        <w:tc>
          <w:tcPr>
            <w:tcW w:w="7846"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spacing w:line="480" w:lineRule="exact"/>
              <w:jc w:val="left"/>
              <w:rPr>
                <w:kern w:val="0"/>
                <w:szCs w:val="21"/>
              </w:rPr>
            </w:pPr>
          </w:p>
        </w:tc>
      </w:tr>
    </w:tbl>
    <w:p>
      <w:pPr>
        <w:spacing w:line="240" w:lineRule="exact"/>
        <w:jc w:val="left"/>
        <w:rPr>
          <w:kern w:val="0"/>
          <w:szCs w:val="21"/>
        </w:rPr>
      </w:pPr>
    </w:p>
    <w:tbl>
      <w:tblPr>
        <w:tblW w:w="89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959"/>
        <w:gridCol w:w="1628"/>
        <w:gridCol w:w="1437"/>
        <w:gridCol w:w="2763"/>
        <w:gridCol w:w="2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cantSplit/>
          <w:trHeight w:val="600" w:hRule="atLeast"/>
          <w:jc w:val="center"/>
        </w:trPr>
        <w:tc>
          <w:tcPr>
            <w:tcW w:w="95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left"/>
              <w:rPr>
                <w:kern w:val="0"/>
                <w:szCs w:val="21"/>
              </w:rPr>
            </w:pPr>
            <w:r>
              <w:rPr>
                <w:rFonts w:hint="eastAsia" w:ascii="仿宋" w:hAnsi="仿宋" w:eastAsia="仿宋"/>
                <w:kern w:val="0"/>
                <w:sz w:val="24"/>
              </w:rPr>
              <w:t>家庭成员及主要社会关系</w:t>
            </w:r>
          </w:p>
        </w:tc>
        <w:tc>
          <w:tcPr>
            <w:tcW w:w="16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kern w:val="0"/>
                <w:sz w:val="24"/>
              </w:rPr>
              <w:t>姓名</w:t>
            </w:r>
          </w:p>
        </w:tc>
        <w:tc>
          <w:tcPr>
            <w:tcW w:w="14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kern w:val="0"/>
                <w:sz w:val="24"/>
              </w:rPr>
              <w:t>与本人关系</w:t>
            </w:r>
          </w:p>
        </w:tc>
        <w:tc>
          <w:tcPr>
            <w:tcW w:w="27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kern w:val="0"/>
                <w:sz w:val="24"/>
              </w:rPr>
              <w:t>工作单位及职务</w:t>
            </w:r>
          </w:p>
        </w:tc>
        <w:tc>
          <w:tcPr>
            <w:tcW w:w="21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kern w:val="0"/>
                <w:sz w:val="24"/>
              </w:rPr>
              <w:t>户籍所在地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cantSplit/>
          <w:trHeight w:val="2484" w:hRule="atLeast"/>
          <w:jc w:val="center"/>
        </w:trPr>
        <w:tc>
          <w:tcPr>
            <w:tcW w:w="959" w:type="dxa"/>
            <w:vMerge w:val="continue"/>
            <w:tcBorders>
              <w:top w:val="single" w:color="auto" w:sz="8" w:space="0"/>
              <w:left w:val="single" w:color="auto" w:sz="8" w:space="0"/>
              <w:bottom w:val="single" w:color="auto" w:sz="8" w:space="0"/>
              <w:right w:val="single" w:color="auto" w:sz="8" w:space="0"/>
            </w:tcBorders>
            <w:vAlign w:val="center"/>
          </w:tcPr>
          <w:p>
            <w:pPr>
              <w:spacing w:line="480" w:lineRule="exact"/>
              <w:jc w:val="left"/>
              <w:rPr>
                <w:kern w:val="0"/>
                <w:szCs w:val="21"/>
              </w:rPr>
            </w:pPr>
          </w:p>
        </w:tc>
        <w:tc>
          <w:tcPr>
            <w:tcW w:w="16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spacing w:line="280" w:lineRule="exact"/>
              <w:jc w:val="left"/>
              <w:rPr>
                <w:kern w:val="0"/>
                <w:szCs w:val="21"/>
              </w:rPr>
            </w:pPr>
          </w:p>
        </w:tc>
        <w:tc>
          <w:tcPr>
            <w:tcW w:w="14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spacing w:line="280" w:lineRule="exact"/>
              <w:jc w:val="left"/>
              <w:rPr>
                <w:kern w:val="0"/>
                <w:szCs w:val="21"/>
              </w:rPr>
            </w:pPr>
          </w:p>
        </w:tc>
        <w:tc>
          <w:tcPr>
            <w:tcW w:w="27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spacing w:line="280" w:lineRule="exact"/>
              <w:jc w:val="left"/>
              <w:rPr>
                <w:kern w:val="0"/>
                <w:szCs w:val="21"/>
              </w:rPr>
            </w:pPr>
          </w:p>
        </w:tc>
        <w:tc>
          <w:tcPr>
            <w:tcW w:w="21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spacing w:line="280" w:lineRule="exact"/>
              <w:jc w:val="left"/>
              <w:rPr>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674" w:hRule="atLeast"/>
          <w:jc w:val="center"/>
        </w:trPr>
        <w:tc>
          <w:tcPr>
            <w:tcW w:w="9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left"/>
              <w:rPr>
                <w:kern w:val="0"/>
                <w:szCs w:val="21"/>
              </w:rPr>
            </w:pPr>
            <w:r>
              <w:rPr>
                <w:rFonts w:hint="eastAsia" w:ascii="仿宋" w:hAnsi="仿宋" w:eastAsia="仿宋"/>
                <w:kern w:val="0"/>
                <w:sz w:val="24"/>
              </w:rPr>
              <w:t>有何特长及突出业绩</w:t>
            </w:r>
          </w:p>
        </w:tc>
        <w:tc>
          <w:tcPr>
            <w:tcW w:w="794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spacing w:line="280" w:lineRule="exact"/>
              <w:jc w:val="left"/>
              <w:rPr>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933" w:hRule="atLeast"/>
          <w:jc w:val="center"/>
        </w:trPr>
        <w:tc>
          <w:tcPr>
            <w:tcW w:w="9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kern w:val="0"/>
                <w:sz w:val="24"/>
              </w:rPr>
              <w:t>奖 惩</w:t>
            </w:r>
          </w:p>
          <w:p>
            <w:pPr>
              <w:spacing w:line="480" w:lineRule="exact"/>
              <w:jc w:val="center"/>
              <w:rPr>
                <w:kern w:val="0"/>
                <w:szCs w:val="21"/>
              </w:rPr>
            </w:pPr>
            <w:r>
              <w:rPr>
                <w:rFonts w:hint="eastAsia" w:ascii="仿宋" w:hAnsi="仿宋" w:eastAsia="仿宋"/>
                <w:kern w:val="0"/>
                <w:sz w:val="24"/>
              </w:rPr>
              <w:t>情 况</w:t>
            </w:r>
          </w:p>
        </w:tc>
        <w:tc>
          <w:tcPr>
            <w:tcW w:w="794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spacing w:line="280" w:lineRule="exact"/>
              <w:jc w:val="left"/>
              <w:rPr>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04" w:hRule="atLeast"/>
          <w:jc w:val="center"/>
        </w:trPr>
        <w:tc>
          <w:tcPr>
            <w:tcW w:w="9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kern w:val="0"/>
                <w:sz w:val="24"/>
              </w:rPr>
              <w:t>审 核</w:t>
            </w:r>
          </w:p>
          <w:p>
            <w:pPr>
              <w:spacing w:line="480" w:lineRule="exact"/>
              <w:jc w:val="center"/>
              <w:rPr>
                <w:kern w:val="0"/>
                <w:szCs w:val="21"/>
              </w:rPr>
            </w:pPr>
          </w:p>
          <w:p>
            <w:pPr>
              <w:spacing w:line="480" w:lineRule="exact"/>
              <w:jc w:val="center"/>
              <w:rPr>
                <w:kern w:val="0"/>
                <w:szCs w:val="21"/>
              </w:rPr>
            </w:pPr>
            <w:r>
              <w:rPr>
                <w:rFonts w:hint="eastAsia" w:ascii="仿宋" w:hAnsi="仿宋" w:eastAsia="仿宋"/>
                <w:kern w:val="0"/>
                <w:sz w:val="24"/>
              </w:rPr>
              <w:t>意 见</w:t>
            </w:r>
          </w:p>
        </w:tc>
        <w:tc>
          <w:tcPr>
            <w:tcW w:w="794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spacing w:line="280" w:lineRule="exact"/>
              <w:jc w:val="left"/>
              <w:rPr>
                <w:kern w:val="0"/>
                <w:szCs w:val="21"/>
              </w:rPr>
            </w:pPr>
          </w:p>
          <w:p>
            <w:pPr>
              <w:spacing w:line="280" w:lineRule="exact"/>
              <w:jc w:val="left"/>
              <w:rPr>
                <w:kern w:val="0"/>
                <w:szCs w:val="21"/>
              </w:rPr>
            </w:pPr>
          </w:p>
          <w:p>
            <w:pPr>
              <w:spacing w:line="280" w:lineRule="exact"/>
              <w:jc w:val="left"/>
              <w:rPr>
                <w:kern w:val="0"/>
                <w:szCs w:val="21"/>
              </w:rPr>
            </w:pPr>
          </w:p>
          <w:p>
            <w:pPr>
              <w:spacing w:line="280" w:lineRule="exact"/>
              <w:jc w:val="left"/>
              <w:rPr>
                <w:kern w:val="0"/>
                <w:szCs w:val="21"/>
              </w:rPr>
            </w:pPr>
          </w:p>
          <w:p>
            <w:pPr>
              <w:spacing w:line="280" w:lineRule="exact"/>
              <w:jc w:val="left"/>
              <w:rPr>
                <w:kern w:val="0"/>
                <w:szCs w:val="21"/>
              </w:rPr>
            </w:pPr>
          </w:p>
          <w:p>
            <w:pPr>
              <w:spacing w:line="280" w:lineRule="exact"/>
              <w:jc w:val="left"/>
              <w:rPr>
                <w:kern w:val="0"/>
                <w:szCs w:val="21"/>
              </w:rPr>
            </w:pPr>
          </w:p>
          <w:p>
            <w:pPr>
              <w:spacing w:line="280" w:lineRule="exact"/>
              <w:jc w:val="left"/>
              <w:rPr>
                <w:kern w:val="0"/>
                <w:szCs w:val="21"/>
              </w:rPr>
            </w:pPr>
          </w:p>
          <w:p>
            <w:pPr>
              <w:spacing w:line="280" w:lineRule="exact"/>
              <w:jc w:val="left"/>
              <w:rPr>
                <w:kern w:val="0"/>
                <w:szCs w:val="21"/>
              </w:rPr>
            </w:pPr>
          </w:p>
          <w:p>
            <w:pPr>
              <w:spacing w:line="280" w:lineRule="exact"/>
              <w:jc w:val="left"/>
              <w:rPr>
                <w:kern w:val="0"/>
                <w:szCs w:val="21"/>
              </w:rPr>
            </w:pPr>
            <w:r>
              <w:rPr>
                <w:rFonts w:hint="eastAsia" w:ascii="仿宋" w:hAnsi="仿宋" w:eastAsia="仿宋"/>
                <w:kern w:val="0"/>
                <w:sz w:val="24"/>
              </w:rPr>
              <w:t>审核人：              审核日期：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615" w:hRule="atLeast"/>
          <w:jc w:val="center"/>
        </w:trPr>
        <w:tc>
          <w:tcPr>
            <w:tcW w:w="9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80" w:lineRule="exact"/>
              <w:jc w:val="center"/>
              <w:rPr>
                <w:kern w:val="0"/>
                <w:szCs w:val="21"/>
              </w:rPr>
            </w:pPr>
            <w:r>
              <w:rPr>
                <w:rFonts w:hint="eastAsia" w:ascii="仿宋" w:hAnsi="仿宋" w:eastAsia="仿宋"/>
                <w:kern w:val="0"/>
                <w:sz w:val="24"/>
              </w:rPr>
              <w:t>备 注</w:t>
            </w:r>
          </w:p>
        </w:tc>
        <w:tc>
          <w:tcPr>
            <w:tcW w:w="794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spacing w:line="480" w:lineRule="exact"/>
              <w:jc w:val="left"/>
              <w:rPr>
                <w:kern w:val="0"/>
                <w:szCs w:val="21"/>
              </w:rPr>
            </w:pPr>
          </w:p>
        </w:tc>
      </w:tr>
    </w:tbl>
    <w:p>
      <w:pPr>
        <w:spacing w:line="480" w:lineRule="exact"/>
        <w:jc w:val="left"/>
        <w:rPr>
          <w:rFonts w:ascii="仿宋_GB2312" w:eastAsia="仿宋_GB2312"/>
          <w:kern w:val="0"/>
          <w:sz w:val="24"/>
        </w:rPr>
      </w:pPr>
      <w:r>
        <w:rPr>
          <w:rFonts w:hint="eastAsia" w:ascii="仿宋_GB2312" w:eastAsia="仿宋_GB2312"/>
          <w:kern w:val="0"/>
          <w:sz w:val="24"/>
        </w:rPr>
        <w:t>说明：1、此表用蓝黑色钢笔填写，字迹要清楚；</w:t>
      </w:r>
    </w:p>
    <w:p>
      <w:pPr>
        <w:spacing w:line="280" w:lineRule="exact"/>
        <w:ind w:firstLine="554" w:firstLineChars="231"/>
        <w:rPr>
          <w:rFonts w:ascii="仿宋_GB2312" w:eastAsia="仿宋_GB2312"/>
          <w:kern w:val="0"/>
          <w:sz w:val="24"/>
        </w:rPr>
      </w:pPr>
      <w:r>
        <w:rPr>
          <w:rFonts w:hint="eastAsia" w:ascii="仿宋_GB2312" w:eastAsia="仿宋_GB2312"/>
          <w:kern w:val="0"/>
          <w:sz w:val="24"/>
        </w:rPr>
        <w:t>2、此表须如实填写，经审核发现与事实不符的，责任自负。</w:t>
      </w:r>
    </w:p>
    <w:p>
      <w:pPr>
        <w:spacing w:line="160" w:lineRule="exact"/>
        <w:ind w:firstLine="554" w:firstLineChars="231"/>
        <w:rPr>
          <w:rFonts w:ascii="仿宋_GB2312" w:eastAsia="仿宋_GB2312"/>
          <w:kern w:val="0"/>
          <w:sz w:val="24"/>
        </w:rPr>
      </w:pPr>
    </w:p>
    <w:p>
      <w:pPr>
        <w:spacing w:line="160" w:lineRule="exact"/>
        <w:ind w:firstLine="554" w:firstLineChars="231"/>
        <w:rPr>
          <w:rFonts w:ascii="仿宋_GB2312" w:eastAsia="仿宋_GB2312"/>
          <w:kern w:val="0"/>
          <w:sz w:val="24"/>
        </w:rPr>
      </w:pPr>
    </w:p>
    <w:tbl>
      <w:tblPr>
        <w:tblW w:w="8923"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left w:w="108" w:type="dxa"/>
          <w:right w:w="108" w:type="dxa"/>
        </w:tblCellMar>
      </w:tblPr>
      <w:tblGrid>
        <w:gridCol w:w="89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left w:w="108" w:type="dxa"/>
            <w:right w:w="108" w:type="dxa"/>
          </w:tblCellMar>
        </w:tblPrEx>
        <w:trPr>
          <w:trHeight w:val="311" w:hRule="atLeast"/>
        </w:trPr>
        <w:tc>
          <w:tcPr>
            <w:tcW w:w="8923" w:type="dxa"/>
            <w:vAlign w:val="top"/>
          </w:tcPr>
          <w:p>
            <w:pPr>
              <w:spacing w:line="360" w:lineRule="exact"/>
              <w:rPr>
                <w:rFonts w:ascii="仿宋" w:hAnsi="仿宋" w:eastAsia="仿宋"/>
                <w:sz w:val="28"/>
                <w:szCs w:val="28"/>
              </w:rPr>
            </w:pPr>
            <w:r>
              <w:rPr>
                <w:rFonts w:hint="eastAsia" w:ascii="仿宋" w:hAnsi="仿宋" w:eastAsia="仿宋"/>
                <w:sz w:val="28"/>
                <w:szCs w:val="28"/>
              </w:rPr>
              <w:t xml:space="preserve">  湄洲湾职业技术学院办公室       </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2019年6月26日印发  </w:t>
            </w:r>
          </w:p>
        </w:tc>
      </w:tr>
    </w:tbl>
    <w:p>
      <w:pPr>
        <w:spacing w:line="80" w:lineRule="exact"/>
        <w:ind w:firstLine="720"/>
        <w:jc w:val="left"/>
      </w:pPr>
    </w:p>
    <w:sectPr>
      <w:pgSz w:w="11906" w:h="16838"/>
      <w:pgMar w:top="1440" w:right="141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PAGE   \* MERGEFORMAT</w:instrText>
    </w:r>
    <w:r>
      <w:fldChar w:fldCharType="separate"/>
    </w:r>
    <w:r>
      <w:rPr>
        <w:lang w:val="zh-CN"/>
      </w:rPr>
      <w:t>2</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paragraph" w:styleId="2">
    <w:name w:val="Balloon Text"/>
    <w:basedOn w:val="1"/>
    <w:link w:val="8"/>
    <w:semiHidden/>
    <w:unhideWhenUsed/>
    <w:uiPriority w:val="99"/>
    <w:rPr>
      <w:sz w:val="18"/>
      <w:szCs w:val="18"/>
    </w:rPr>
  </w:style>
  <w:style w:type="paragraph" w:styleId="3">
    <w:name w:val="footer"/>
    <w:basedOn w:val="1"/>
    <w:link w:val="7"/>
    <w:unhideWhenUsed/>
    <w:uiPriority w:val="99"/>
    <w:pPr>
      <w:tabs>
        <w:tab w:val="center" w:pos="4153"/>
        <w:tab w:val="right" w:pos="8306"/>
      </w:tabs>
      <w:snapToGrid w:val="0"/>
      <w:jc w:val="left"/>
    </w:pPr>
    <w:rPr>
      <w:sz w:val="18"/>
      <w:szCs w:val="18"/>
    </w:rPr>
  </w:style>
  <w:style w:type="paragraph" w:styleId="4">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4"/>
    <w:uiPriority w:val="99"/>
    <w:rPr>
      <w:rFonts w:ascii="Times New Roman" w:hAnsi="Times New Roman" w:eastAsia="宋体" w:cs="Times New Roman"/>
      <w:sz w:val="18"/>
      <w:szCs w:val="18"/>
    </w:rPr>
  </w:style>
  <w:style w:type="character" w:customStyle="1" w:styleId="7">
    <w:name w:val="页脚 Char"/>
    <w:basedOn w:val="5"/>
    <w:link w:val="3"/>
    <w:uiPriority w:val="99"/>
    <w:rPr>
      <w:rFonts w:ascii="Times New Roman" w:hAnsi="Times New Roman" w:eastAsia="宋体" w:cs="Times New Roman"/>
      <w:sz w:val="18"/>
      <w:szCs w:val="18"/>
    </w:rPr>
  </w:style>
  <w:style w:type="character" w:customStyle="1" w:styleId="8">
    <w:name w:val="批注框文本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1064</Words>
  <Characters>6065</Characters>
  <Lines>50</Lines>
  <Paragraphs>14</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2019-05-23T06:43:00Z</dcterms:created>
  <dc:creator>人事处管理员</dc:creator>
  <cp:lastModifiedBy>lin110401</cp:lastModifiedBy>
  <cp:lastPrinted>2019-06-27T04:05:00Z</cp:lastPrinted>
  <dcterms:modified xsi:type="dcterms:W3CDTF">2019-07-01T08:49:09Z</dcterms:modified>
  <dc:title>  湄职院人〔2019〕25号                签发人：许冬红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