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color w:val="333333"/>
          <w:kern w:val="0"/>
          <w:sz w:val="37"/>
          <w:szCs w:val="37"/>
          <w:shd w:val="clear" w:fill="FFFFFF"/>
          <w:lang w:val="en-US" w:eastAsia="zh-CN" w:bidi="ar"/>
        </w:rPr>
        <w:t>2019年</w:t>
      </w:r>
      <w:r>
        <w:rPr>
          <w:rFonts w:ascii="宋体" w:hAnsi="宋体" w:eastAsia="宋体" w:cs="宋体"/>
          <w:color w:val="333333"/>
          <w:kern w:val="0"/>
          <w:sz w:val="37"/>
          <w:szCs w:val="37"/>
          <w:bdr w:val="none" w:color="auto" w:sz="0" w:space="0"/>
          <w:shd w:val="clear" w:fill="FFFFFF"/>
          <w:lang w:val="en-US" w:eastAsia="zh-CN" w:bidi="ar"/>
        </w:rPr>
        <w:t>全国扶贫宣传教育中心公开招聘拟聘用人员公示</w:t>
      </w:r>
    </w:p>
    <w:tbl>
      <w:tblPr>
        <w:tblW w:w="8914" w:type="dxa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290"/>
        <w:gridCol w:w="2008"/>
        <w:gridCol w:w="2181"/>
        <w:gridCol w:w="2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岗  位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学历及专业</w:t>
            </w:r>
          </w:p>
        </w:tc>
        <w:tc>
          <w:tcPr>
            <w:tcW w:w="21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培训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姜晨晖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1994年1月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教育法学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2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宣传岗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张婧婧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1985年1月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中国传媒大学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  江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1991年12月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艺术设计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大连民族学院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12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培训岗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王  淞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1988年3月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法语语言文学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黄泽琪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1988年3月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西南政法大学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2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管理岗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马秋磊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1994年10月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Autospacing="1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北京物资学院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0" w:beforeAutospacing="0" w:after="376" w:afterAutospacing="0"/>
        <w:ind w:left="0" w:right="0"/>
        <w:jc w:val="center"/>
        <w:rPr>
          <w:color w:val="333333"/>
          <w:sz w:val="37"/>
          <w:szCs w:val="37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33581"/>
    <w:rsid w:val="7CD33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2019-07-03T09:03:00Z</dcterms:created>
  <dc:creator>ASUS</dc:creator>
  <cp:lastModifiedBy>ASUS</cp:lastModifiedBy>
  <dcterms:modified xsi:type="dcterms:W3CDTF">2019-07-03T09:03:36Z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