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4A4A4A"/>
          <w:sz w:val="21"/>
          <w:szCs w:val="21"/>
        </w:rPr>
      </w:pPr>
      <w:r>
        <w:rPr>
          <w:rStyle w:val="3"/>
          <w:rFonts w:hint="eastAsia" w:ascii="微软雅黑" w:hAnsi="微软雅黑" w:eastAsia="微软雅黑" w:cs="微软雅黑"/>
          <w:color w:val="4A4A4A"/>
          <w:kern w:val="0"/>
          <w:sz w:val="21"/>
          <w:szCs w:val="21"/>
          <w:bdr w:val="none" w:color="auto" w:sz="0" w:space="0"/>
          <w:lang w:val="en-US" w:eastAsia="zh-CN" w:bidi="ar"/>
        </w:rPr>
        <w:t>财务审计类成绩统计表</w:t>
      </w:r>
    </w:p>
    <w:tbl>
      <w:tblPr>
        <w:tblpPr w:vertAnchor="text" w:tblpXSpec="left"/>
        <w:tblW w:w="802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面试总分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是否进入体检范围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20190701A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20190702A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20190703A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20190704A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20190705A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20190706A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20190707A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20190710A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20190711A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20190712A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20190714A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20190717A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4A4A4A"/>
          <w:sz w:val="21"/>
          <w:szCs w:val="21"/>
        </w:rPr>
      </w:pPr>
      <w:r>
        <w:rPr>
          <w:rStyle w:val="3"/>
          <w:rFonts w:hint="eastAsia" w:ascii="微软雅黑" w:hAnsi="微软雅黑" w:eastAsia="微软雅黑" w:cs="微软雅黑"/>
          <w:color w:val="4A4A4A"/>
          <w:kern w:val="0"/>
          <w:sz w:val="21"/>
          <w:szCs w:val="21"/>
          <w:bdr w:val="none" w:color="auto" w:sz="0" w:space="0"/>
          <w:lang w:val="en-US" w:eastAsia="zh-CN" w:bidi="ar"/>
        </w:rPr>
        <w:t>法律类成绩统计表</w:t>
      </w:r>
    </w:p>
    <w:tbl>
      <w:tblPr>
        <w:tblW w:w="830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656"/>
        <w:gridCol w:w="1656"/>
        <w:gridCol w:w="1661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面试总分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是否进入体检范围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75" w:hRule="atLeast"/>
          <w:tblCellSpacing w:w="0" w:type="dxa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20190701B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20190703B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20190704B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20190705B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4A4A4A"/>
          <w:sz w:val="21"/>
          <w:szCs w:val="21"/>
        </w:rPr>
      </w:pPr>
      <w:r>
        <w:rPr>
          <w:rStyle w:val="3"/>
          <w:rFonts w:hint="eastAsia" w:ascii="微软雅黑" w:hAnsi="微软雅黑" w:eastAsia="微软雅黑" w:cs="微软雅黑"/>
          <w:color w:val="4A4A4A"/>
          <w:kern w:val="0"/>
          <w:sz w:val="21"/>
          <w:szCs w:val="21"/>
          <w:bdr w:val="none" w:color="auto" w:sz="0" w:space="0"/>
          <w:lang w:val="en-US" w:eastAsia="zh-CN" w:bidi="ar"/>
        </w:rPr>
        <w:t>计算机类成绩统计表</w:t>
      </w:r>
    </w:p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657"/>
        <w:gridCol w:w="1657"/>
        <w:gridCol w:w="1661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面试总分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是否进入体检范围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20190708C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20190709C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20190710C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4A4A4A"/>
          <w:sz w:val="21"/>
          <w:szCs w:val="21"/>
        </w:rPr>
      </w:pPr>
      <w:r>
        <w:rPr>
          <w:rStyle w:val="3"/>
          <w:rFonts w:hint="eastAsia" w:ascii="微软雅黑" w:hAnsi="微软雅黑" w:eastAsia="微软雅黑" w:cs="微软雅黑"/>
          <w:color w:val="4A4A4A"/>
          <w:kern w:val="0"/>
          <w:sz w:val="21"/>
          <w:szCs w:val="21"/>
          <w:bdr w:val="none" w:color="auto" w:sz="0" w:space="0"/>
          <w:lang w:val="en-US" w:eastAsia="zh-CN" w:bidi="ar"/>
        </w:rPr>
        <w:t>投资审计类成绩统计表</w:t>
      </w:r>
    </w:p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50"/>
        <w:gridCol w:w="1657"/>
        <w:gridCol w:w="1662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面试总分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是否进入体检范围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30" w:hRule="atLeast"/>
          <w:tblCellSpacing w:w="0" w:type="dxa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20190711D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20190712D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20190714D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20190715D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A4A4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A4A4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4A4A4A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A4A4A"/>
          <w:kern w:val="0"/>
          <w:sz w:val="21"/>
          <w:szCs w:val="21"/>
          <w:bdr w:val="none" w:color="auto" w:sz="0" w:space="0"/>
          <w:lang w:val="en-US" w:eastAsia="zh-CN" w:bidi="ar"/>
        </w:rPr>
        <w:t>注：总成绩按照笔试成绩60%加面试成绩40%。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6B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A4A4A"/>
      <w:u w:val="none"/>
      <w:bdr w:val="none" w:color="auto" w:sz="0" w:space="0"/>
    </w:rPr>
  </w:style>
  <w:style w:type="character" w:styleId="5">
    <w:name w:val="Emphasis"/>
    <w:basedOn w:val="2"/>
    <w:qFormat/>
    <w:uiPriority w:val="0"/>
    <w:rPr>
      <w:i/>
      <w:bdr w:val="none" w:color="auto" w:sz="0" w:space="0"/>
    </w:rPr>
  </w:style>
  <w:style w:type="character" w:styleId="6">
    <w:name w:val="Hyperlink"/>
    <w:basedOn w:val="2"/>
    <w:uiPriority w:val="0"/>
    <w:rPr>
      <w:color w:val="4A4A4A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2019-07-22T05:25:24Z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