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</w:pPr>
      <w:r>
        <w:t>窗体顶端</w:t>
      </w:r>
    </w:p>
    <w:p>
      <w:pPr>
        <w:pStyle w:val="2"/>
        <w:keepNext w:val="0"/>
        <w:keepLines w:val="0"/>
        <w:widowControl/>
        <w:suppressLineNumbers w:val="0"/>
        <w:spacing w:before="76" w:beforeAutospacing="0" w:after="0" w:afterAutospacing="0"/>
        <w:ind w:left="0" w:right="0"/>
        <w:rPr>
          <w:sz w:val="36"/>
          <w:szCs w:val="36"/>
        </w:rPr>
      </w:pPr>
      <w:bookmarkStart w:id="0" w:name="_GoBack"/>
      <w:r>
        <w:rPr>
          <w:sz w:val="36"/>
          <w:szCs w:val="36"/>
          <w:shd w:val="clear" w:fill="FFFFFF"/>
        </w:rPr>
        <w:t>内蒙古农业大学引进优秀博士人才管理办法(试行)</w:t>
      </w:r>
    </w:p>
    <w:bookmarkEnd w:id="0"/>
    <w:p>
      <w:pPr>
        <w:keepNext w:val="0"/>
        <w:keepLines w:val="0"/>
        <w:widowControl/>
        <w:suppressLineNumbers w:val="0"/>
        <w:shd w:val="clear" w:fill="FFFFFF"/>
        <w:spacing w:before="76" w:beforeAutospacing="0" w:after="0" w:afterAutospacing="0" w:line="495" w:lineRule="atLeast"/>
        <w:ind w:left="0" w:right="106" w:firstLine="600"/>
        <w:jc w:val="left"/>
        <w:rPr>
          <w:rFonts w:eastAsia="Tahoma"/>
          <w:color w:val="171F26"/>
        </w:rPr>
      </w:pPr>
      <w:r>
        <w:rPr>
          <w:rStyle w:val="7"/>
          <w:rFonts w:hint="default" w:ascii="仿宋_GB2312" w:hAnsi="仿宋_GB2312" w:eastAsia="仿宋_GB2312" w:cs="仿宋_GB2312"/>
          <w:color w:val="171F2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第一条</w:t>
      </w:r>
      <w:r>
        <w:rPr>
          <w:rFonts w:hint="default" w:ascii="仿宋_GB2312" w:hAnsi="仿宋_GB2312" w:eastAsia="仿宋_GB2312" w:cs="仿宋_GB2312"/>
          <w:color w:val="171F2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为加强我校学科专业建设，吸引一批国内外优秀博士人才充实和优化教师队伍,进一步提高人才培养、科学研究、社会服务与文化传承的水平与能力，结合我校实际，特制定本办法。</w:t>
      </w:r>
    </w:p>
    <w:p>
      <w:pPr>
        <w:keepNext w:val="0"/>
        <w:keepLines w:val="0"/>
        <w:widowControl/>
        <w:suppressLineNumbers w:val="0"/>
        <w:shd w:val="clear" w:fill="FFFFFF"/>
        <w:spacing w:before="76" w:beforeAutospacing="0" w:after="0" w:afterAutospacing="0" w:line="495" w:lineRule="atLeast"/>
        <w:ind w:left="0" w:right="0" w:firstLine="600"/>
        <w:jc w:val="left"/>
        <w:rPr>
          <w:rFonts w:eastAsia="Tahoma"/>
          <w:color w:val="171F26"/>
        </w:rPr>
      </w:pPr>
      <w:r>
        <w:rPr>
          <w:rStyle w:val="7"/>
          <w:rFonts w:hint="default" w:ascii="仿宋_GB2312" w:hAnsi="仿宋_GB2312" w:eastAsia="仿宋_GB2312" w:cs="仿宋_GB2312"/>
          <w:color w:val="171F2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第二条</w:t>
      </w:r>
      <w:r>
        <w:rPr>
          <w:rFonts w:hint="default" w:ascii="仿宋_GB2312" w:hAnsi="仿宋_GB2312" w:eastAsia="仿宋_GB2312" w:cs="仿宋_GB2312"/>
          <w:color w:val="171F2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本办法所称“优秀博士人才”是指：通过国内外公开招聘、绿色通道等形式入职，具备培养潜质、能够促进相关学科发展的博士毕业生、博士后出站人员等优秀人才；本校教师在职攻读国内外知名大学、研究机构博士毕业或博士后出站直接回校工作人员等。</w:t>
      </w:r>
    </w:p>
    <w:p>
      <w:pPr>
        <w:keepNext w:val="0"/>
        <w:keepLines w:val="0"/>
        <w:widowControl/>
        <w:suppressLineNumbers w:val="0"/>
        <w:shd w:val="clear" w:fill="FFFFFF"/>
        <w:spacing w:before="76" w:beforeAutospacing="0" w:after="0" w:afterAutospacing="0" w:line="495" w:lineRule="atLeast"/>
        <w:ind w:left="0" w:right="0" w:firstLine="600"/>
        <w:jc w:val="left"/>
        <w:rPr>
          <w:rFonts w:eastAsia="Tahoma"/>
          <w:color w:val="171F26"/>
        </w:rPr>
      </w:pPr>
      <w:r>
        <w:rPr>
          <w:rStyle w:val="7"/>
          <w:rFonts w:hint="default" w:ascii="仿宋_GB2312" w:hAnsi="仿宋_GB2312" w:eastAsia="仿宋_GB2312" w:cs="仿宋_GB2312"/>
          <w:color w:val="171F2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第三条</w:t>
      </w:r>
      <w:r>
        <w:rPr>
          <w:rFonts w:hint="default" w:ascii="仿宋_GB2312" w:hAnsi="仿宋_GB2312" w:eastAsia="仿宋_GB2312" w:cs="仿宋_GB2312"/>
          <w:color w:val="171F2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坚持按需引进，严格程序标准，编入现有团队，实行合约管理。</w:t>
      </w:r>
    </w:p>
    <w:p>
      <w:pPr>
        <w:keepNext w:val="0"/>
        <w:keepLines w:val="0"/>
        <w:widowControl/>
        <w:suppressLineNumbers w:val="0"/>
        <w:shd w:val="clear" w:fill="FFFFFF"/>
        <w:spacing w:before="76" w:beforeAutospacing="0" w:after="0" w:afterAutospacing="0" w:line="495" w:lineRule="atLeast"/>
        <w:ind w:left="0" w:right="0" w:firstLine="600"/>
        <w:jc w:val="both"/>
        <w:rPr>
          <w:rFonts w:eastAsia="Tahoma"/>
          <w:color w:val="171F26"/>
        </w:rPr>
      </w:pPr>
      <w:r>
        <w:rPr>
          <w:rStyle w:val="7"/>
          <w:rFonts w:hint="default" w:ascii="仿宋_GB2312" w:hAnsi="仿宋_GB2312" w:eastAsia="仿宋_GB2312" w:cs="仿宋_GB2312"/>
          <w:color w:val="171F2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第四条</w:t>
      </w:r>
      <w:r>
        <w:rPr>
          <w:rFonts w:hint="default" w:ascii="仿宋_GB2312" w:hAnsi="仿宋_GB2312" w:eastAsia="仿宋_GB2312" w:cs="仿宋_GB2312"/>
          <w:color w:val="171F2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学校成立“优秀博士人才评议工作组”，组长由主管人事工作的校领导担任，成员由学校人事处、教务处、研究生院、科技处、发展规划处、监察审计处负责人和相关学科4位校学术委员会专家担任，共11人组成。该工作小组下设办公室，办公室设在人事处，负责日常事务。</w:t>
      </w:r>
    </w:p>
    <w:p>
      <w:pPr>
        <w:keepNext w:val="0"/>
        <w:keepLines w:val="0"/>
        <w:widowControl/>
        <w:suppressLineNumbers w:val="0"/>
        <w:shd w:val="clear" w:fill="FFFFFF"/>
        <w:spacing w:before="76" w:beforeAutospacing="0" w:after="0" w:afterAutospacing="0" w:line="495" w:lineRule="atLeast"/>
        <w:ind w:left="0" w:right="0" w:firstLine="585"/>
        <w:jc w:val="both"/>
        <w:rPr>
          <w:rFonts w:eastAsia="Tahoma"/>
          <w:color w:val="171F26"/>
        </w:rPr>
      </w:pPr>
      <w:r>
        <w:rPr>
          <w:rStyle w:val="7"/>
          <w:rFonts w:hint="default" w:ascii="仿宋_GB2312" w:hAnsi="仿宋_GB2312" w:eastAsia="仿宋_GB2312" w:cs="仿宋_GB2312"/>
          <w:color w:val="171F2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第五条</w:t>
      </w:r>
      <w:r>
        <w:rPr>
          <w:rFonts w:hint="default" w:ascii="仿宋_GB2312" w:hAnsi="仿宋_GB2312" w:eastAsia="仿宋_GB2312" w:cs="仿宋_GB2312"/>
          <w:color w:val="171F2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优秀博士人才设为四个层次，根据《内蒙古农业大学优秀博士人才评议指标体系》（见附件），对优秀博士人才的“教育背景”、“业绩成果”和“综合素质评价”等进行评议，按评议得分确定层次。对评议得分（N）在70分（不含）以上人员，按照学校《吸引和鼓励高层次人才在校工作暂行办法》管理；对评议得分在70分及以下的优秀博士人才，按如下分值确定层次区间：</w:t>
      </w:r>
    </w:p>
    <w:p>
      <w:pPr>
        <w:keepNext w:val="0"/>
        <w:keepLines w:val="0"/>
        <w:widowControl/>
        <w:suppressLineNumbers w:val="0"/>
        <w:shd w:val="clear" w:fill="FFFFFF"/>
        <w:spacing w:before="76" w:beforeAutospacing="0" w:after="0" w:afterAutospacing="0" w:line="495" w:lineRule="atLeast"/>
        <w:ind w:left="0" w:right="0" w:firstLine="585"/>
        <w:jc w:val="both"/>
        <w:rPr>
          <w:rFonts w:eastAsia="Tahoma"/>
          <w:color w:val="171F26"/>
        </w:rPr>
      </w:pPr>
      <w:r>
        <w:rPr>
          <w:rFonts w:hint="default" w:ascii="仿宋_GB2312" w:hAnsi="仿宋_GB2312" w:eastAsia="仿宋_GB2312" w:cs="仿宋_GB2312"/>
          <w:color w:val="171F2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 xml:space="preserve">第一层次  55&lt;N≤70分； </w:t>
      </w:r>
    </w:p>
    <w:p>
      <w:pPr>
        <w:keepNext w:val="0"/>
        <w:keepLines w:val="0"/>
        <w:widowControl/>
        <w:suppressLineNumbers w:val="0"/>
        <w:shd w:val="clear" w:fill="FFFFFF"/>
        <w:spacing w:before="76" w:beforeAutospacing="0" w:after="0" w:afterAutospacing="0" w:line="495" w:lineRule="atLeast"/>
        <w:ind w:left="0" w:right="0" w:firstLine="585"/>
        <w:jc w:val="both"/>
        <w:rPr>
          <w:rFonts w:eastAsia="Tahoma"/>
          <w:color w:val="171F26"/>
        </w:rPr>
      </w:pPr>
      <w:r>
        <w:rPr>
          <w:rFonts w:hint="default" w:ascii="仿宋_GB2312" w:hAnsi="仿宋_GB2312" w:eastAsia="仿宋_GB2312" w:cs="仿宋_GB2312"/>
          <w:color w:val="171F2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 xml:space="preserve">第二层次  40&lt;N≤55分； </w:t>
      </w:r>
    </w:p>
    <w:p>
      <w:pPr>
        <w:keepNext w:val="0"/>
        <w:keepLines w:val="0"/>
        <w:widowControl/>
        <w:suppressLineNumbers w:val="0"/>
        <w:shd w:val="clear" w:fill="FFFFFF"/>
        <w:spacing w:before="76" w:beforeAutospacing="0" w:after="0" w:afterAutospacing="0" w:line="495" w:lineRule="atLeast"/>
        <w:ind w:left="0" w:right="0" w:firstLine="585"/>
        <w:jc w:val="both"/>
        <w:rPr>
          <w:rFonts w:eastAsia="Tahoma"/>
          <w:color w:val="171F26"/>
        </w:rPr>
      </w:pPr>
      <w:r>
        <w:rPr>
          <w:rFonts w:hint="default" w:ascii="仿宋_GB2312" w:hAnsi="仿宋_GB2312" w:eastAsia="仿宋_GB2312" w:cs="仿宋_GB2312"/>
          <w:color w:val="171F2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 xml:space="preserve">第三层次  25&lt;N≤40分； </w:t>
      </w:r>
    </w:p>
    <w:p>
      <w:pPr>
        <w:keepNext w:val="0"/>
        <w:keepLines w:val="0"/>
        <w:widowControl/>
        <w:suppressLineNumbers w:val="0"/>
        <w:shd w:val="clear" w:fill="FFFFFF"/>
        <w:spacing w:before="76" w:beforeAutospacing="0" w:after="0" w:afterAutospacing="0" w:line="495" w:lineRule="atLeast"/>
        <w:ind w:left="0" w:right="0" w:firstLine="585"/>
        <w:jc w:val="both"/>
        <w:rPr>
          <w:rFonts w:eastAsia="Tahoma"/>
          <w:color w:val="171F26"/>
        </w:rPr>
      </w:pPr>
      <w:r>
        <w:rPr>
          <w:rFonts w:hint="default" w:ascii="仿宋_GB2312" w:hAnsi="仿宋_GB2312" w:eastAsia="仿宋_GB2312" w:cs="仿宋_GB2312"/>
          <w:color w:val="171F2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第四层次  N≤25分。</w:t>
      </w:r>
    </w:p>
    <w:p>
      <w:pPr>
        <w:keepNext w:val="0"/>
        <w:keepLines w:val="0"/>
        <w:widowControl/>
        <w:suppressLineNumbers w:val="0"/>
        <w:shd w:val="clear" w:fill="FFFFFF"/>
        <w:spacing w:before="76" w:beforeAutospacing="0" w:after="0" w:afterAutospacing="0" w:line="495" w:lineRule="atLeast"/>
        <w:ind w:left="0" w:right="0" w:firstLine="600"/>
        <w:jc w:val="both"/>
        <w:rPr>
          <w:rFonts w:eastAsia="Tahoma"/>
          <w:color w:val="171F26"/>
        </w:rPr>
      </w:pPr>
      <w:r>
        <w:rPr>
          <w:rStyle w:val="7"/>
          <w:rFonts w:hint="default" w:ascii="仿宋_GB2312" w:hAnsi="仿宋_GB2312" w:eastAsia="仿宋_GB2312" w:cs="仿宋_GB2312"/>
          <w:color w:val="171F2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第六条</w:t>
      </w:r>
      <w:r>
        <w:rPr>
          <w:rFonts w:hint="default" w:ascii="仿宋_GB2312" w:hAnsi="仿宋_GB2312" w:eastAsia="仿宋_GB2312" w:cs="仿宋_GB2312"/>
          <w:color w:val="171F2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优秀博士人才评议程序：</w:t>
      </w:r>
    </w:p>
    <w:p>
      <w:pPr>
        <w:keepNext w:val="0"/>
        <w:keepLines w:val="0"/>
        <w:widowControl/>
        <w:suppressLineNumbers w:val="0"/>
        <w:shd w:val="clear" w:fill="FFFFFF"/>
        <w:spacing w:before="76" w:beforeAutospacing="0" w:after="0" w:afterAutospacing="0" w:line="495" w:lineRule="atLeast"/>
        <w:ind w:left="0" w:right="0" w:firstLine="600"/>
        <w:jc w:val="both"/>
        <w:rPr>
          <w:rFonts w:eastAsia="Tahoma"/>
          <w:color w:val="171F26"/>
        </w:rPr>
      </w:pPr>
      <w:r>
        <w:rPr>
          <w:rFonts w:hint="default" w:ascii="仿宋_GB2312" w:hAnsi="仿宋_GB2312" w:eastAsia="仿宋_GB2312" w:cs="仿宋_GB2312"/>
          <w:color w:val="171F2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1、本人申请。申报人员在入职（回校）工作3个月后，根据本办法要求和本人实际情况填写《内蒙古农业大学优秀博士人才评议申请表》，并提交相应佐证材料。</w:t>
      </w:r>
    </w:p>
    <w:p>
      <w:pPr>
        <w:keepNext w:val="0"/>
        <w:keepLines w:val="0"/>
        <w:widowControl/>
        <w:suppressLineNumbers w:val="0"/>
        <w:shd w:val="clear" w:fill="FFFFFF"/>
        <w:spacing w:before="76" w:beforeAutospacing="0" w:after="0" w:afterAutospacing="0" w:line="495" w:lineRule="atLeast"/>
        <w:ind w:left="0" w:right="0" w:firstLine="600"/>
        <w:jc w:val="both"/>
        <w:rPr>
          <w:rFonts w:eastAsia="Tahoma"/>
          <w:color w:val="171F26"/>
        </w:rPr>
      </w:pPr>
      <w:r>
        <w:rPr>
          <w:rFonts w:hint="default" w:ascii="仿宋_GB2312" w:hAnsi="仿宋_GB2312" w:eastAsia="仿宋_GB2312" w:cs="仿宋_GB2312"/>
          <w:color w:val="171F2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、申报人所在单位初审。所在单位除对申报人相关材料进行一般性核实外，应组织专家组（教研室、院教授委员会的主要成员）就申报人学术水平、教学科研能力、发展潜力、综合素质、思想政治表现等进行评分，并提出评价意见。</w:t>
      </w:r>
    </w:p>
    <w:p>
      <w:pPr>
        <w:keepNext w:val="0"/>
        <w:keepLines w:val="0"/>
        <w:widowControl/>
        <w:suppressLineNumbers w:val="0"/>
        <w:shd w:val="clear" w:fill="FFFFFF"/>
        <w:spacing w:before="76" w:beforeAutospacing="0" w:after="0" w:afterAutospacing="0" w:line="495" w:lineRule="atLeast"/>
        <w:ind w:left="0" w:right="0" w:firstLine="600"/>
        <w:jc w:val="both"/>
        <w:rPr>
          <w:rFonts w:eastAsia="Tahoma"/>
          <w:color w:val="171F26"/>
        </w:rPr>
      </w:pPr>
      <w:r>
        <w:rPr>
          <w:rFonts w:hint="default" w:ascii="仿宋_GB2312" w:hAnsi="仿宋_GB2312" w:eastAsia="仿宋_GB2312" w:cs="仿宋_GB2312"/>
          <w:color w:val="171F2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3、学校评审。人事处会同有关单位对各用人单位提交的申请材料进行审查，组织学校优秀博士人才评议工作组开展评审，对优秀博士人才层次、相关待遇及所聘岗位提出意见；人事处将优秀博士人才分层次建议材料进行汇总。</w:t>
      </w:r>
    </w:p>
    <w:p>
      <w:pPr>
        <w:keepNext w:val="0"/>
        <w:keepLines w:val="0"/>
        <w:widowControl/>
        <w:suppressLineNumbers w:val="0"/>
        <w:shd w:val="clear" w:fill="FFFFFF"/>
        <w:spacing w:before="76" w:beforeAutospacing="0" w:after="0" w:afterAutospacing="0" w:line="495" w:lineRule="atLeast"/>
        <w:ind w:left="0" w:right="0" w:firstLine="600"/>
        <w:jc w:val="both"/>
        <w:rPr>
          <w:rFonts w:eastAsia="Tahoma"/>
          <w:color w:val="171F26"/>
        </w:rPr>
      </w:pPr>
      <w:r>
        <w:rPr>
          <w:rFonts w:hint="default" w:ascii="仿宋_GB2312" w:hAnsi="仿宋_GB2312" w:eastAsia="仿宋_GB2312" w:cs="仿宋_GB2312"/>
          <w:color w:val="171F2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4、校长办公会审议后由党委会批准。</w:t>
      </w:r>
    </w:p>
    <w:p>
      <w:pPr>
        <w:keepNext w:val="0"/>
        <w:keepLines w:val="0"/>
        <w:widowControl/>
        <w:suppressLineNumbers w:val="0"/>
        <w:shd w:val="clear" w:fill="FFFFFF"/>
        <w:spacing w:before="76" w:beforeAutospacing="0" w:after="0" w:afterAutospacing="0" w:line="495" w:lineRule="atLeast"/>
        <w:ind w:left="0" w:right="0" w:firstLine="600"/>
        <w:jc w:val="both"/>
        <w:rPr>
          <w:rFonts w:eastAsia="Tahoma"/>
          <w:color w:val="171F26"/>
        </w:rPr>
      </w:pPr>
      <w:r>
        <w:rPr>
          <w:rStyle w:val="7"/>
          <w:rFonts w:hint="default" w:ascii="仿宋_GB2312" w:hAnsi="仿宋_GB2312" w:eastAsia="仿宋_GB2312" w:cs="仿宋_GB2312"/>
          <w:color w:val="171F2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第七条</w:t>
      </w:r>
      <w:r>
        <w:rPr>
          <w:rFonts w:hint="default" w:ascii="仿宋_GB2312" w:hAnsi="仿宋_GB2312" w:eastAsia="仿宋_GB2312" w:cs="仿宋_GB2312"/>
          <w:color w:val="171F2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各层次优秀博士人才待遇</w:t>
      </w:r>
    </w:p>
    <w:tbl>
      <w:tblPr>
        <w:tblW w:w="7605" w:type="dxa"/>
        <w:jc w:val="center"/>
        <w:tblInd w:w="45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0"/>
        <w:gridCol w:w="1737"/>
        <w:gridCol w:w="2005"/>
        <w:gridCol w:w="184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层次</w:t>
            </w:r>
          </w:p>
        </w:tc>
        <w:tc>
          <w:tcPr>
            <w:tcW w:w="17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聘任岗位</w:t>
            </w:r>
          </w:p>
        </w:tc>
        <w:tc>
          <w:tcPr>
            <w:tcW w:w="20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生活补贴</w:t>
            </w:r>
          </w:p>
        </w:tc>
        <w:tc>
          <w:tcPr>
            <w:tcW w:w="184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科研启动金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2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第一层次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副教授BⅡ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25万元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20-40万元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2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第二层次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副教授BⅢ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15万元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10-20万元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2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第三层次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讲师CⅠ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5万元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3-10万元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2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第四层次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讲师CⅡ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3万元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9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2万元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76" w:beforeAutospacing="0" w:after="0" w:afterAutospacing="0" w:line="495" w:lineRule="atLeast"/>
        <w:ind w:left="0" w:right="0"/>
        <w:jc w:val="left"/>
        <w:rPr>
          <w:rFonts w:eastAsia="Tahoma"/>
          <w:color w:val="171F26"/>
        </w:rPr>
      </w:pPr>
      <w:r>
        <w:rPr>
          <w:rStyle w:val="7"/>
          <w:rFonts w:hint="default" w:ascii="仿宋_GB2312" w:hAnsi="仿宋_GB2312" w:eastAsia="仿宋_GB2312" w:cs="仿宋_GB2312"/>
          <w:color w:val="171F2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  第八条</w:t>
      </w:r>
      <w:r>
        <w:rPr>
          <w:rFonts w:hint="default" w:ascii="仿宋_GB2312" w:hAnsi="仿宋_GB2312" w:eastAsia="仿宋_GB2312" w:cs="仿宋_GB2312"/>
          <w:color w:val="171F2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 xml:space="preserve"> 对引进的优秀博士人才的聘任岗位，除第四层次“讲师CⅡ”岗位为正常聘任外，第一至第三层次聘任岗位均为低职高聘。低职高聘人才在引进聘期内未得到正常专业技术职务评审晋升，引进聘期结束后恢复至同批第四层次人员正常聘任岗位。</w:t>
      </w:r>
    </w:p>
    <w:p>
      <w:pPr>
        <w:keepNext w:val="0"/>
        <w:keepLines w:val="0"/>
        <w:widowControl/>
        <w:suppressLineNumbers w:val="0"/>
        <w:shd w:val="clear" w:fill="FFFFFF"/>
        <w:spacing w:before="76" w:beforeAutospacing="0" w:after="0" w:afterAutospacing="0" w:line="495" w:lineRule="atLeast"/>
        <w:ind w:left="0" w:right="0" w:firstLine="600"/>
        <w:jc w:val="left"/>
        <w:rPr>
          <w:rFonts w:eastAsia="Tahoma"/>
          <w:color w:val="171F26"/>
        </w:rPr>
      </w:pPr>
      <w:r>
        <w:rPr>
          <w:rStyle w:val="7"/>
          <w:rFonts w:hint="default" w:ascii="仿宋_GB2312" w:hAnsi="仿宋_GB2312" w:eastAsia="仿宋_GB2312" w:cs="仿宋_GB2312"/>
          <w:color w:val="171F2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第九条</w:t>
      </w:r>
      <w:r>
        <w:rPr>
          <w:rFonts w:hint="default" w:ascii="仿宋_GB2312" w:hAnsi="仿宋_GB2312" w:eastAsia="仿宋_GB2312" w:cs="仿宋_GB2312"/>
          <w:color w:val="171F2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 xml:space="preserve"> “生活补贴”由人事处牵头，财务处协助落实，一次性支付并按国家规定缴纳个人所得税。</w:t>
      </w:r>
    </w:p>
    <w:p>
      <w:pPr>
        <w:keepNext w:val="0"/>
        <w:keepLines w:val="0"/>
        <w:widowControl/>
        <w:suppressLineNumbers w:val="0"/>
        <w:shd w:val="clear" w:fill="FFFFFF"/>
        <w:spacing w:before="76" w:beforeAutospacing="0" w:after="0" w:afterAutospacing="0" w:line="495" w:lineRule="atLeast"/>
        <w:ind w:left="0" w:right="0" w:firstLine="600"/>
        <w:jc w:val="left"/>
        <w:rPr>
          <w:rFonts w:eastAsia="Tahoma"/>
          <w:color w:val="171F26"/>
        </w:rPr>
      </w:pPr>
      <w:r>
        <w:rPr>
          <w:rStyle w:val="7"/>
          <w:rFonts w:hint="default" w:ascii="仿宋_GB2312" w:hAnsi="仿宋_GB2312" w:eastAsia="仿宋_GB2312" w:cs="仿宋_GB2312"/>
          <w:color w:val="171F2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第十条</w:t>
      </w:r>
      <w:r>
        <w:rPr>
          <w:rFonts w:hint="default" w:ascii="仿宋_GB2312" w:hAnsi="仿宋_GB2312" w:eastAsia="仿宋_GB2312" w:cs="仿宋_GB2312"/>
          <w:color w:val="171F2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 xml:space="preserve"> “科研启动金”由人事处牵头，科技处、财务处协助落实。科研启动金纳入学校科研项目管理，本人按项目申请，批准立项后分期拨付使用，低于10万元（不含）可一次拨付使用。</w:t>
      </w:r>
    </w:p>
    <w:p>
      <w:pPr>
        <w:keepNext w:val="0"/>
        <w:keepLines w:val="0"/>
        <w:widowControl/>
        <w:suppressLineNumbers w:val="0"/>
        <w:shd w:val="clear" w:fill="FFFFFF"/>
        <w:spacing w:before="76" w:beforeAutospacing="0" w:after="0" w:afterAutospacing="0" w:line="495" w:lineRule="atLeast"/>
        <w:ind w:left="0" w:right="0" w:firstLine="600"/>
        <w:jc w:val="left"/>
        <w:rPr>
          <w:rFonts w:eastAsia="Tahoma"/>
          <w:color w:val="171F26"/>
        </w:rPr>
      </w:pPr>
      <w:r>
        <w:rPr>
          <w:rStyle w:val="7"/>
          <w:rFonts w:hint="default" w:ascii="仿宋_GB2312" w:hAnsi="仿宋_GB2312" w:eastAsia="仿宋_GB2312" w:cs="仿宋_GB2312"/>
          <w:color w:val="171F2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第十一条</w:t>
      </w:r>
      <w:r>
        <w:rPr>
          <w:rFonts w:hint="default" w:ascii="仿宋_GB2312" w:hAnsi="仿宋_GB2312" w:eastAsia="仿宋_GB2312" w:cs="仿宋_GB2312"/>
          <w:color w:val="171F2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第一、二层次的优秀博士人才其配偶愿意来我校就业的，可根据有关政策规定按学校编制外工作人员聘任。</w:t>
      </w:r>
      <w:r>
        <w:rPr>
          <w:rFonts w:hint="default" w:ascii="Calibri" w:hAnsi="Calibri" w:eastAsia="Tahoma" w:cs="Calibri"/>
          <w:color w:val="171F26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76" w:beforeAutospacing="0" w:after="0" w:afterAutospacing="0" w:line="495" w:lineRule="atLeast"/>
        <w:ind w:left="0" w:right="0" w:firstLine="585"/>
        <w:jc w:val="both"/>
        <w:rPr>
          <w:rFonts w:eastAsia="Tahoma"/>
          <w:color w:val="171F26"/>
        </w:rPr>
      </w:pPr>
      <w:r>
        <w:rPr>
          <w:rStyle w:val="7"/>
          <w:rFonts w:hint="default" w:ascii="仿宋_GB2312" w:hAnsi="仿宋_GB2312" w:eastAsia="仿宋_GB2312" w:cs="仿宋_GB2312"/>
          <w:color w:val="171F2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第十二条</w:t>
      </w:r>
      <w:r>
        <w:rPr>
          <w:rFonts w:hint="default" w:ascii="仿宋_GB2312" w:hAnsi="仿宋_GB2312" w:eastAsia="仿宋_GB2312" w:cs="仿宋_GB2312"/>
          <w:color w:val="171F2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学校以签订“补充协议”方式进一步明确双方的具体权利和义务及违约责任。根据聘用合同和“补充协议”规定的岗位职责及工作任务，实行目标管理与考核。“补充协议”一般以4年作为引进聘期。优秀博士人才在引进聘期内，进行年度考核，引进聘期末进行聘期考核，考核工作由用人单位负责。年度考核既要考核其教师岗位职责完成情况，也要考核其“补充协议”中的约定职责。对年度考核不合格者，应告诫谈话，督促其提出下一阶段整改方案，并报人事处备案。对聘期考核不合格的人员，学校视情况予以解聘，并追究本人违约责任，包括解聘因引进而安置的配偶工作岗位。</w:t>
      </w:r>
    </w:p>
    <w:p>
      <w:pPr>
        <w:keepNext w:val="0"/>
        <w:keepLines w:val="0"/>
        <w:widowControl/>
        <w:suppressLineNumbers w:val="0"/>
        <w:shd w:val="clear" w:fill="FFFFFF"/>
        <w:spacing w:before="76" w:beforeAutospacing="0" w:after="0" w:afterAutospacing="0" w:line="495" w:lineRule="atLeast"/>
        <w:ind w:left="0" w:right="0" w:firstLine="585"/>
        <w:jc w:val="both"/>
        <w:rPr>
          <w:rFonts w:eastAsia="Tahoma"/>
          <w:color w:val="171F26"/>
        </w:rPr>
      </w:pPr>
      <w:r>
        <w:rPr>
          <w:rStyle w:val="7"/>
          <w:rFonts w:hint="default" w:ascii="仿宋_GB2312" w:hAnsi="仿宋_GB2312" w:eastAsia="仿宋_GB2312" w:cs="仿宋_GB2312"/>
          <w:color w:val="171F2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第十三条</w:t>
      </w:r>
      <w:r>
        <w:rPr>
          <w:rFonts w:hint="default" w:ascii="仿宋_GB2312" w:hAnsi="仿宋_GB2312" w:eastAsia="仿宋_GB2312" w:cs="仿宋_GB2312"/>
          <w:color w:val="171F2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优秀博士人才必须在我校服务10年。在服务期限内，原则上不得提出调动、辞职等申请。</w:t>
      </w:r>
    </w:p>
    <w:p>
      <w:pPr>
        <w:keepNext w:val="0"/>
        <w:keepLines w:val="0"/>
        <w:widowControl/>
        <w:suppressLineNumbers w:val="0"/>
        <w:shd w:val="clear" w:fill="FFFFFF"/>
        <w:spacing w:before="76" w:beforeAutospacing="0" w:after="0" w:afterAutospacing="0" w:line="495" w:lineRule="atLeast"/>
        <w:ind w:left="0" w:right="0" w:firstLine="600"/>
        <w:jc w:val="left"/>
        <w:rPr>
          <w:rFonts w:eastAsia="Tahoma"/>
          <w:color w:val="171F26"/>
        </w:rPr>
      </w:pPr>
      <w:r>
        <w:rPr>
          <w:rStyle w:val="7"/>
          <w:rFonts w:hint="default" w:ascii="仿宋_GB2312" w:hAnsi="仿宋_GB2312" w:eastAsia="仿宋_GB2312" w:cs="仿宋_GB2312"/>
          <w:color w:val="171F2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第十四条</w:t>
      </w:r>
      <w:r>
        <w:rPr>
          <w:rFonts w:hint="default" w:ascii="仿宋_GB2312" w:hAnsi="仿宋_GB2312" w:eastAsia="仿宋_GB2312" w:cs="仿宋_GB2312"/>
          <w:color w:val="171F2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本办法执行前与学校签订相关协议的，仍按原协议执行。</w:t>
      </w:r>
    </w:p>
    <w:p>
      <w:pPr>
        <w:keepNext w:val="0"/>
        <w:keepLines w:val="0"/>
        <w:widowControl/>
        <w:suppressLineNumbers w:val="0"/>
        <w:shd w:val="clear" w:fill="FFFFFF"/>
        <w:spacing w:before="76" w:beforeAutospacing="0" w:after="0" w:afterAutospacing="0" w:line="495" w:lineRule="atLeast"/>
        <w:ind w:left="0" w:right="0" w:firstLine="600"/>
        <w:jc w:val="both"/>
        <w:rPr>
          <w:rFonts w:eastAsia="Tahoma"/>
          <w:color w:val="171F26"/>
        </w:rPr>
      </w:pPr>
      <w:r>
        <w:rPr>
          <w:rStyle w:val="7"/>
          <w:rFonts w:hint="default" w:ascii="仿宋_GB2312" w:hAnsi="仿宋_GB2312" w:eastAsia="仿宋_GB2312" w:cs="仿宋_GB2312"/>
          <w:color w:val="171F2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第十五条</w:t>
      </w:r>
      <w:r>
        <w:rPr>
          <w:rFonts w:hint="default" w:ascii="仿宋_GB2312" w:hAnsi="仿宋_GB2312" w:eastAsia="仿宋_GB2312" w:cs="仿宋_GB2312"/>
          <w:color w:val="171F2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本办法自公布之日起执行，由人事处负责解释。如遇与本办法不一致的规定，以本办法为准。</w:t>
      </w:r>
    </w:p>
    <w:p>
      <w:pPr>
        <w:keepNext w:val="0"/>
        <w:keepLines w:val="0"/>
        <w:widowControl/>
        <w:suppressLineNumbers w:val="0"/>
        <w:shd w:val="clear" w:fill="FFFFFF"/>
        <w:spacing w:before="76" w:beforeAutospacing="0" w:after="0" w:afterAutospacing="0" w:line="600" w:lineRule="atLeast"/>
        <w:ind w:left="0" w:right="0"/>
        <w:jc w:val="both"/>
        <w:rPr>
          <w:rFonts w:eastAsia="Tahoma"/>
          <w:color w:val="171F26"/>
        </w:rPr>
      </w:pPr>
      <w:r>
        <w:rPr>
          <w:rFonts w:hint="default" w:ascii="仿宋_GB2312" w:hAnsi="仿宋_GB2312" w:eastAsia="仿宋_GB2312" w:cs="仿宋_GB2312"/>
          <w:color w:val="171F2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shd w:val="clear" w:fill="FFFFFF"/>
        <w:spacing w:before="76" w:beforeAutospacing="0" w:after="0" w:afterAutospacing="0" w:line="600" w:lineRule="atLeast"/>
        <w:ind w:left="0" w:right="0"/>
        <w:jc w:val="center"/>
        <w:rPr>
          <w:rFonts w:eastAsia="Tahoma"/>
          <w:color w:val="171F26"/>
        </w:rPr>
      </w:pPr>
      <w:r>
        <w:rPr>
          <w:rFonts w:hint="eastAsia" w:ascii="黑体" w:hAnsi="宋体" w:eastAsia="黑体" w:cs="黑体"/>
          <w:color w:val="171F2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内蒙古农业大学优秀博士人才评议指标体系</w:t>
      </w:r>
    </w:p>
    <w:p>
      <w:pPr>
        <w:keepNext w:val="0"/>
        <w:keepLines w:val="0"/>
        <w:widowControl/>
        <w:suppressLineNumbers w:val="0"/>
        <w:shd w:val="clear" w:fill="FFFFFF"/>
        <w:spacing w:before="76" w:beforeAutospacing="0" w:after="0" w:afterAutospacing="0" w:line="600" w:lineRule="atLeast"/>
        <w:ind w:left="0" w:right="0" w:firstLine="600"/>
        <w:jc w:val="both"/>
        <w:rPr>
          <w:rFonts w:eastAsia="Tahoma"/>
          <w:color w:val="171F26"/>
        </w:rPr>
      </w:pPr>
      <w:r>
        <w:rPr>
          <w:rStyle w:val="7"/>
          <w:rFonts w:hint="default" w:ascii="仿宋_GB2312" w:hAnsi="仿宋_GB2312" w:eastAsia="仿宋_GB2312" w:cs="仿宋_GB2312"/>
          <w:color w:val="171F2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一、教育背景（30分）</w:t>
      </w:r>
    </w:p>
    <w:tbl>
      <w:tblPr>
        <w:tblW w:w="8280" w:type="dxa"/>
        <w:jc w:val="center"/>
        <w:tblInd w:w="11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0"/>
        <w:gridCol w:w="1410"/>
        <w:gridCol w:w="1275"/>
        <w:gridCol w:w="1702"/>
        <w:gridCol w:w="185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  <w:jc w:val="center"/>
        </w:trPr>
        <w:tc>
          <w:tcPr>
            <w:tcW w:w="2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国内一流大学（原985）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国内知名大学（原211）</w:t>
            </w:r>
          </w:p>
        </w:tc>
        <w:tc>
          <w:tcPr>
            <w:tcW w:w="17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普通本科院校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（具有博士授予权单位）</w:t>
            </w:r>
          </w:p>
        </w:tc>
        <w:tc>
          <w:tcPr>
            <w:tcW w:w="18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普通本科院校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（无博士授予权单位）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博士后出站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  <w:jc w:val="center"/>
        </w:trPr>
        <w:tc>
          <w:tcPr>
            <w:tcW w:w="8280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注：1、国家级研究院所原则上根据层次参照国内一流大学;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420"/>
              <w:jc w:val="both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2、高中阶段为蒙语授课考生的本科背景可按上一层次学校计分；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420"/>
              <w:jc w:val="both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3、国外大学、科研机构及其他未包含的培养单位的层次由学校“优秀博士人才评议工作组”认定。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76" w:beforeAutospacing="0" w:after="0" w:afterAutospacing="0" w:line="600" w:lineRule="atLeast"/>
        <w:ind w:left="0" w:right="0" w:firstLine="600"/>
        <w:jc w:val="both"/>
        <w:rPr>
          <w:rFonts w:eastAsia="Tahoma"/>
          <w:color w:val="171F26"/>
        </w:rPr>
      </w:pPr>
      <w:r>
        <w:rPr>
          <w:rStyle w:val="7"/>
          <w:rFonts w:hint="default" w:ascii="仿宋_GB2312" w:hAnsi="仿宋_GB2312" w:eastAsia="仿宋_GB2312" w:cs="仿宋_GB2312"/>
          <w:color w:val="171F2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二、科研业绩（60分）</w:t>
      </w:r>
    </w:p>
    <w:p>
      <w:pPr>
        <w:keepNext w:val="0"/>
        <w:keepLines w:val="0"/>
        <w:widowControl/>
        <w:suppressLineNumbers w:val="0"/>
        <w:shd w:val="clear" w:fill="FFFFFF"/>
        <w:spacing w:before="76" w:beforeAutospacing="0" w:after="0" w:afterAutospacing="0" w:line="600" w:lineRule="atLeast"/>
        <w:ind w:left="0" w:right="0"/>
        <w:jc w:val="both"/>
        <w:rPr>
          <w:rFonts w:eastAsia="Tahoma"/>
          <w:color w:val="171F26"/>
        </w:rPr>
      </w:pPr>
      <w:r>
        <w:rPr>
          <w:rStyle w:val="7"/>
          <w:rFonts w:hint="default" w:ascii="仿宋_GB2312" w:hAnsi="仿宋_GB2312" w:eastAsia="仿宋_GB2312" w:cs="仿宋_GB2312"/>
          <w:color w:val="171F26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     1．论文：45分</w:t>
      </w:r>
    </w:p>
    <w:tbl>
      <w:tblPr>
        <w:tblW w:w="8565" w:type="dxa"/>
        <w:jc w:val="center"/>
        <w:tblInd w:w="-24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4380"/>
        <w:gridCol w:w="1740"/>
        <w:gridCol w:w="114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color w:val="171F2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级别</w:t>
            </w:r>
          </w:p>
        </w:tc>
        <w:tc>
          <w:tcPr>
            <w:tcW w:w="43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color w:val="171F2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学术论文</w:t>
            </w:r>
          </w:p>
        </w:tc>
        <w:tc>
          <w:tcPr>
            <w:tcW w:w="17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color w:val="171F2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基准分值/篇</w:t>
            </w:r>
          </w:p>
        </w:tc>
        <w:tc>
          <w:tcPr>
            <w:tcW w:w="11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00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最高分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13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SCI、SSCI一区检索的本学科学术期刊论文 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3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SCI、SSCI二区检索的本学科学术期刊论文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SCI、SSCI三区检索的本学科学术期刊论文；《中国社会科学》、《新华文摘》全文转载; A&amp;HCI收录论文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SCI、SSCI四区、EI检索的本学科学术期刊论文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E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CSCD 、CSSCI检索前10%期刊的本学科学术论文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3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F</w:t>
            </w:r>
          </w:p>
        </w:tc>
        <w:tc>
          <w:tcPr>
            <w:tcW w:w="43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其他CSCD、CSSCI检索的本学科学术论文、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3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说明</w:t>
            </w:r>
          </w:p>
        </w:tc>
        <w:tc>
          <w:tcPr>
            <w:tcW w:w="72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1、SCI、SSCI分区以中科院年度分区为准。 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2、以上指独立或通讯第一作者，并列第一作者降一档次计分；非第一作者或并列第二顺序以后通讯作者不计分。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3、“首次报道”类文章不作为学术论文计分。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4、农林经济管理学科按实测得分乘1.5系数计分。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76" w:beforeAutospacing="0" w:after="0" w:afterAutospacing="0" w:line="405" w:lineRule="atLeast"/>
        <w:ind w:left="0" w:right="0"/>
        <w:jc w:val="both"/>
        <w:rPr>
          <w:rFonts w:eastAsia="Tahoma"/>
          <w:color w:val="171F26"/>
        </w:rPr>
      </w:pPr>
      <w:r>
        <w:rPr>
          <w:rStyle w:val="7"/>
          <w:rFonts w:hint="default" w:ascii="仿宋_GB2312" w:hAnsi="仿宋_GB2312" w:eastAsia="仿宋_GB2312" w:cs="仿宋_GB2312"/>
          <w:color w:val="171F26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    2．主持过科研项目:4分</w:t>
      </w:r>
    </w:p>
    <w:tbl>
      <w:tblPr>
        <w:tblW w:w="8610" w:type="dxa"/>
        <w:jc w:val="center"/>
        <w:tblInd w:w="-47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845"/>
        <w:gridCol w:w="1125"/>
        <w:gridCol w:w="442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  <w:jc w:val="center"/>
        </w:trPr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18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主持人</w:t>
            </w:r>
          </w:p>
        </w:tc>
        <w:tc>
          <w:tcPr>
            <w:tcW w:w="1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最高分</w:t>
            </w:r>
          </w:p>
        </w:tc>
        <w:tc>
          <w:tcPr>
            <w:tcW w:w="44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国家级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4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left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指纵向课题，不分级次。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2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省部级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76" w:beforeAutospacing="0" w:after="0" w:afterAutospacing="0" w:line="405" w:lineRule="atLeast"/>
        <w:ind w:left="0" w:right="0"/>
        <w:jc w:val="both"/>
        <w:rPr>
          <w:rFonts w:eastAsia="Tahoma"/>
          <w:color w:val="171F26"/>
        </w:rPr>
      </w:pPr>
      <w:r>
        <w:rPr>
          <w:rStyle w:val="7"/>
          <w:rFonts w:hint="default" w:ascii="仿宋_GB2312" w:hAnsi="仿宋_GB2312" w:eastAsia="仿宋_GB2312" w:cs="仿宋_GB2312"/>
          <w:color w:val="171F26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    3．科研成果获奖：6分</w:t>
      </w:r>
    </w:p>
    <w:tbl>
      <w:tblPr>
        <w:tblW w:w="8865" w:type="dxa"/>
        <w:jc w:val="center"/>
        <w:tblInd w:w="-17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8"/>
        <w:gridCol w:w="1542"/>
        <w:gridCol w:w="2425"/>
        <w:gridCol w:w="1258"/>
        <w:gridCol w:w="1078"/>
        <w:gridCol w:w="121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4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1542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主持人</w:t>
            </w:r>
          </w:p>
        </w:tc>
        <w:tc>
          <w:tcPr>
            <w:tcW w:w="242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主要参与人（国家前5名、省级前3名）</w:t>
            </w:r>
          </w:p>
        </w:tc>
        <w:tc>
          <w:tcPr>
            <w:tcW w:w="23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最高分</w:t>
            </w:r>
          </w:p>
        </w:tc>
        <w:tc>
          <w:tcPr>
            <w:tcW w:w="1214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4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2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有主持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无主持</w:t>
            </w:r>
          </w:p>
        </w:tc>
        <w:tc>
          <w:tcPr>
            <w:tcW w:w="1214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3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国家级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9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58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78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both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优秀奖不计分。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34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省部级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9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5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76" w:beforeAutospacing="0" w:after="0" w:afterAutospacing="0" w:line="405" w:lineRule="atLeast"/>
        <w:ind w:left="0" w:right="0"/>
        <w:jc w:val="both"/>
        <w:rPr>
          <w:rFonts w:eastAsia="Tahoma"/>
          <w:color w:val="171F26"/>
        </w:rPr>
      </w:pPr>
      <w:r>
        <w:rPr>
          <w:rStyle w:val="7"/>
          <w:rFonts w:hint="default" w:ascii="仿宋_GB2312" w:hAnsi="仿宋_GB2312" w:eastAsia="仿宋_GB2312" w:cs="仿宋_GB2312"/>
          <w:color w:val="171F26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        4．出版物、专利：5分</w:t>
      </w:r>
    </w:p>
    <w:tbl>
      <w:tblPr>
        <w:tblW w:w="8865" w:type="dxa"/>
        <w:jc w:val="center"/>
        <w:tblInd w:w="-174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1"/>
        <w:gridCol w:w="1259"/>
        <w:gridCol w:w="1258"/>
        <w:gridCol w:w="1467"/>
        <w:gridCol w:w="1228"/>
        <w:gridCol w:w="1033"/>
        <w:gridCol w:w="107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6753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1033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最高分</w:t>
            </w:r>
          </w:p>
        </w:tc>
        <w:tc>
          <w:tcPr>
            <w:tcW w:w="1079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5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著作或教材</w:t>
            </w:r>
          </w:p>
        </w:tc>
        <w:tc>
          <w:tcPr>
            <w:tcW w:w="521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left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正式出版的本专业学术著作主编3分、副主编2分；参编人员1分；出版个人美术作品集1分。</w:t>
            </w:r>
          </w:p>
        </w:tc>
        <w:tc>
          <w:tcPr>
            <w:tcW w:w="1033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7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left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与本专业无关的出版物、专利不计分。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jc w:val="center"/>
        </w:trPr>
        <w:tc>
          <w:tcPr>
            <w:tcW w:w="154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译著、工具书</w:t>
            </w:r>
          </w:p>
        </w:tc>
        <w:tc>
          <w:tcPr>
            <w:tcW w:w="521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2分</w:t>
            </w:r>
          </w:p>
        </w:tc>
        <w:tc>
          <w:tcPr>
            <w:tcW w:w="1033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jc w:val="center"/>
        </w:trPr>
        <w:tc>
          <w:tcPr>
            <w:tcW w:w="154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left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第一、二完成人专利等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国家标准（GB）、发明专利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实用新型专利、动植物品种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软件著作权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外观设计专利、行业标准</w:t>
            </w:r>
          </w:p>
        </w:tc>
        <w:tc>
          <w:tcPr>
            <w:tcW w:w="103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171F2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7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  <w:jc w:val="center"/>
        </w:trPr>
        <w:tc>
          <w:tcPr>
            <w:tcW w:w="154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2分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1分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0.8分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  <w:rPr>
                <w:rFonts w:eastAsia="Tahoma"/>
                <w:color w:val="171F26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0.5分</w:t>
            </w:r>
          </w:p>
        </w:tc>
        <w:tc>
          <w:tcPr>
            <w:tcW w:w="103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76" w:beforeAutospacing="0" w:after="0" w:afterAutospacing="0" w:line="600" w:lineRule="atLeast"/>
        <w:ind w:left="0" w:right="0" w:firstLine="600"/>
        <w:jc w:val="both"/>
        <w:rPr>
          <w:rFonts w:eastAsia="Tahoma"/>
          <w:color w:val="171F26"/>
        </w:rPr>
      </w:pPr>
      <w:r>
        <w:rPr>
          <w:rStyle w:val="7"/>
          <w:rFonts w:hint="default" w:ascii="仿宋_GB2312" w:hAnsi="仿宋_GB2312" w:eastAsia="仿宋_GB2312" w:cs="仿宋_GB2312"/>
          <w:color w:val="171F2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三、考核评价（10分）</w:t>
      </w:r>
    </w:p>
    <w:p>
      <w:pPr>
        <w:keepNext w:val="0"/>
        <w:keepLines w:val="0"/>
        <w:widowControl/>
        <w:suppressLineNumbers w:val="0"/>
        <w:shd w:val="clear" w:fill="FFFFFF"/>
        <w:spacing w:before="76" w:beforeAutospacing="0" w:after="0" w:afterAutospacing="0" w:line="600" w:lineRule="atLeast"/>
        <w:ind w:left="0" w:right="0" w:firstLine="600"/>
        <w:jc w:val="both"/>
        <w:rPr>
          <w:rFonts w:eastAsia="Tahoma"/>
          <w:color w:val="171F26"/>
        </w:rPr>
      </w:pPr>
      <w:r>
        <w:rPr>
          <w:rFonts w:hint="default" w:ascii="仿宋_GB2312" w:hAnsi="仿宋_GB2312" w:eastAsia="仿宋_GB2312" w:cs="仿宋_GB2312"/>
          <w:color w:val="171F2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   由申报人所在单位根据其综合素质和工作情况进行评价，给出评价报告并附分值。</w:t>
      </w:r>
    </w:p>
    <w:p>
      <w:pPr>
        <w:keepNext w:val="0"/>
        <w:keepLines w:val="0"/>
        <w:widowControl/>
        <w:suppressLineNumbers w:val="0"/>
        <w:shd w:val="clear" w:fill="FFFFFF"/>
        <w:spacing w:before="76" w:beforeAutospacing="0" w:after="0" w:afterAutospacing="0" w:line="600" w:lineRule="atLeast"/>
        <w:ind w:left="0" w:right="0" w:firstLine="600"/>
        <w:jc w:val="both"/>
        <w:rPr>
          <w:rFonts w:eastAsia="Tahoma"/>
          <w:color w:val="171F26"/>
        </w:rPr>
      </w:pPr>
      <w:r>
        <w:rPr>
          <w:rStyle w:val="7"/>
          <w:rFonts w:hint="default" w:ascii="仿宋_GB2312" w:hAnsi="仿宋_GB2312" w:eastAsia="仿宋_GB2312" w:cs="仿宋_GB2312"/>
          <w:color w:val="171F2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四、其他说明</w:t>
      </w:r>
    </w:p>
    <w:p>
      <w:pPr>
        <w:keepNext w:val="0"/>
        <w:keepLines w:val="0"/>
        <w:widowControl/>
        <w:suppressLineNumbers w:val="0"/>
        <w:shd w:val="clear" w:fill="FFFFFF"/>
        <w:spacing w:before="76" w:beforeAutospacing="0" w:after="0" w:afterAutospacing="0" w:line="600" w:lineRule="atLeast"/>
        <w:ind w:left="0" w:right="0"/>
        <w:jc w:val="both"/>
        <w:rPr>
          <w:rFonts w:eastAsia="Tahoma"/>
          <w:color w:val="171F26"/>
        </w:rPr>
      </w:pPr>
      <w:r>
        <w:rPr>
          <w:rFonts w:hint="default" w:ascii="仿宋_GB2312" w:hAnsi="仿宋_GB2312" w:eastAsia="仿宋_GB2312" w:cs="仿宋_GB2312"/>
          <w:color w:val="171F2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      1、科研业绩成果计算时间从攻读博士学位（硕博连读从硕士入学后第3年）开始至评价时点截止，由学校人事处认定；</w:t>
      </w:r>
    </w:p>
    <w:p>
      <w:pPr>
        <w:keepNext w:val="0"/>
        <w:keepLines w:val="0"/>
        <w:widowControl/>
        <w:suppressLineNumbers w:val="0"/>
        <w:shd w:val="clear" w:fill="FFFFFF"/>
        <w:spacing w:before="76" w:beforeAutospacing="0" w:after="0" w:afterAutospacing="0" w:line="600" w:lineRule="atLeast"/>
        <w:ind w:left="0" w:right="0" w:firstLine="585"/>
        <w:jc w:val="both"/>
        <w:rPr>
          <w:rFonts w:eastAsia="Tahoma"/>
          <w:color w:val="171F26"/>
        </w:rPr>
      </w:pPr>
      <w:r>
        <w:rPr>
          <w:rFonts w:hint="default" w:ascii="仿宋_GB2312" w:hAnsi="仿宋_GB2312" w:eastAsia="仿宋_GB2312" w:cs="仿宋_GB2312"/>
          <w:color w:val="171F2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   2、论文等级由图书馆核查认定，SCI、SSCI发表文章分区以中科院年度分区为准；</w:t>
      </w:r>
    </w:p>
    <w:p>
      <w:pPr>
        <w:keepNext w:val="0"/>
        <w:keepLines w:val="0"/>
        <w:widowControl/>
        <w:suppressLineNumbers w:val="0"/>
        <w:shd w:val="clear" w:fill="FFFFFF"/>
        <w:spacing w:before="76" w:beforeAutospacing="0" w:after="0" w:afterAutospacing="0" w:line="600" w:lineRule="atLeast"/>
        <w:ind w:left="0" w:right="0" w:firstLine="585"/>
        <w:jc w:val="both"/>
        <w:rPr>
          <w:rFonts w:eastAsia="Tahoma"/>
          <w:color w:val="171F26"/>
        </w:rPr>
      </w:pPr>
      <w:r>
        <w:rPr>
          <w:rFonts w:hint="default" w:ascii="仿宋_GB2312" w:hAnsi="仿宋_GB2312" w:eastAsia="仿宋_GB2312" w:cs="仿宋_GB2312"/>
          <w:color w:val="171F26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    3、其他科研成果由所在单位审核盖章后，到科技处认定。</w:t>
      </w:r>
    </w:p>
    <w:p>
      <w:pPr>
        <w:keepNext w:val="0"/>
        <w:keepLines w:val="0"/>
        <w:widowControl/>
        <w:suppressLineNumbers w:val="0"/>
        <w:spacing w:before="76" w:beforeAutospacing="0" w:after="0" w:afterAutospacing="0"/>
        <w:ind w:left="0" w:right="0"/>
        <w:jc w:val="both"/>
        <w:rPr>
          <w:rFonts w:eastAsia="Tahoma"/>
          <w:color w:val="171F26"/>
        </w:rPr>
      </w:pPr>
      <w:r>
        <w:rPr>
          <w:rFonts w:hint="default" w:ascii="Calibri" w:hAnsi="Calibri" w:eastAsia="Tahoma" w:cs="Calibri"/>
          <w:color w:val="171F26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pStyle w:val="14"/>
      </w:pPr>
      <w:r>
        <w:t>窗体底端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@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E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1" w:after="0" w:afterAutospacing="1"/>
      <w:jc w:val="center"/>
    </w:pPr>
    <w:rPr>
      <w:rFonts w:hint="eastAsia" w:ascii="宋体" w:hAnsi="宋体" w:eastAsia="宋体" w:cs="宋体"/>
      <w:b/>
      <w:color w:val="000000"/>
      <w:kern w:val="44"/>
      <w:sz w:val="27"/>
      <w:szCs w:val="27"/>
      <w:u w:val="none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324143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yperlink"/>
    <w:basedOn w:val="6"/>
    <w:uiPriority w:val="0"/>
    <w:rPr>
      <w:color w:val="324143"/>
      <w:u w:val="none"/>
    </w:rPr>
  </w:style>
  <w:style w:type="character" w:customStyle="1" w:styleId="11">
    <w:name w:val="页眉 Char"/>
    <w:basedOn w:val="6"/>
    <w:link w:val="4"/>
    <w:uiPriority w:val="0"/>
    <w:rPr>
      <w:rFonts w:hint="default" w:ascii="Calibri" w:hAnsi="Calibri" w:cs="Calibri"/>
    </w:rPr>
  </w:style>
  <w:style w:type="character" w:customStyle="1" w:styleId="12">
    <w:name w:val="页脚 Char"/>
    <w:basedOn w:val="6"/>
    <w:link w:val="3"/>
    <w:uiPriority w:val="0"/>
    <w:rPr>
      <w:rFonts w:hint="default" w:ascii="Calibri" w:hAnsi="Calibri" w:cs="Calibri"/>
    </w:rPr>
  </w:style>
  <w:style w:type="paragraph" w:styleId="13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4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2019-06-12T01:08:30Z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