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佛山市南海区市场监督管理局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机关事业单位</w:t>
      </w:r>
      <w:r>
        <w:rPr>
          <w:rFonts w:hint="eastAsia" w:ascii="方正小标宋简体" w:hAnsi="方正小标宋简体" w:eastAsia="方正小标宋简体"/>
          <w:sz w:val="36"/>
          <w:szCs w:val="32"/>
        </w:rPr>
        <w:t>辅助工作人员职位表</w:t>
      </w:r>
    </w:p>
    <w:bookmarkEnd w:id="0"/>
    <w:tbl>
      <w:tblPr>
        <w:tblStyle w:val="8"/>
        <w:tblW w:w="14351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85"/>
        <w:gridCol w:w="1605"/>
        <w:gridCol w:w="1635"/>
        <w:gridCol w:w="735"/>
        <w:gridCol w:w="810"/>
        <w:gridCol w:w="825"/>
        <w:gridCol w:w="720"/>
        <w:gridCol w:w="2805"/>
        <w:gridCol w:w="2205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本科专业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名称及代码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/>
                <w:sz w:val="24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黑体" w:hAnsi="黑体" w:eastAsia="黑体"/>
                <w:sz w:val="24"/>
                <w:szCs w:val="32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南海区市场监督管理局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从事办公室文秘工作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(B050101)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(B050301)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该岗位因工作需要，需持有C1驾照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002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协调与应急科工作人员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从事食品安全风险监测研判工作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(B082801)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(B082802)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该岗位因工作需要，需持有C1驾照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协调与应急科工作人员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从事市场监管协调与应急工作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该岗位因工作需要，需持有C1驾照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004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信用风险监管科工作人员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从事市场主体信用分类管理工作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(B050101)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新闻学（B050301）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计算机科学与技术（B080901）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该岗位因工作需要，需持有C1驾照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005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产品质量安全监管科工作人员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从事产品质量安全监管工作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(B120201)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(B050101)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统计学类（B0711）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人力资源管理（B120206）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市场营销（B120202）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该岗位因工作需要，需持有C1驾照</w:t>
            </w:r>
          </w:p>
        </w:tc>
        <w:tc>
          <w:tcPr>
            <w:tcW w:w="104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006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食品销售安全监管科工作人员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从事食品销售安全监管工作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(B082801)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(B082802)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该岗位因工作需要，需持有C1驾照</w:t>
            </w:r>
          </w:p>
        </w:tc>
        <w:tc>
          <w:tcPr>
            <w:tcW w:w="104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007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机关党委工作人员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从事党建工作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该岗位因工作需要，需持有C1驾照</w:t>
            </w:r>
          </w:p>
        </w:tc>
        <w:tc>
          <w:tcPr>
            <w:tcW w:w="104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南海区消费者权益保护委员会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事业单位辅助工作人员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消委会工作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(B0301)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需参与消费者维权调解工作，适合男性，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该岗位因工作需要，需持有C1驾照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6.9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说明：①年龄计算时间为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1983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月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日后出生；②学历学位须国家承认，国（境）外学历须提供学历认证；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  <w:t>③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学科、专业代码及名称参照广东省考试录用公务员专业目录（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版）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  <w:t>；④单位不提供办理聘用人员落户服务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。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11D72"/>
    <w:rsid w:val="65A11D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"/>
    <w:basedOn w:val="6"/>
    <w:link w:val="4"/>
    <w:qFormat/>
    <w:uiPriority w:val="0"/>
    <w:pPr>
      <w:tabs>
        <w:tab w:val="left" w:pos="425"/>
      </w:tabs>
      <w:ind w:left="425" w:hanging="425"/>
    </w:pPr>
  </w:style>
  <w:style w:type="paragraph" w:customStyle="1" w:styleId="6">
    <w:name w:val="正文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styleId="7">
    <w:name w:val="page number"/>
    <w:basedOn w:val="4"/>
    <w:uiPriority w:val="0"/>
  </w:style>
  <w:style w:type="paragraph" w:customStyle="1" w:styleId="9">
    <w:name w:val="正文 New New New New New New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2019-09-11T08:57:00Z</dcterms:created>
  <dc:creator>user</dc:creator>
  <cp:lastModifiedBy>user</cp:lastModifiedBy>
  <dcterms:modified xsi:type="dcterms:W3CDTF">2019-09-11T09:00:01Z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