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63" w:tblpY="1503"/>
        <w:tblOverlap w:val="never"/>
        <w:tblW w:w="146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032"/>
        <w:gridCol w:w="487"/>
        <w:gridCol w:w="705"/>
        <w:gridCol w:w="495"/>
        <w:gridCol w:w="720"/>
        <w:gridCol w:w="672"/>
        <w:gridCol w:w="1433"/>
        <w:gridCol w:w="1778"/>
        <w:gridCol w:w="1663"/>
        <w:gridCol w:w="2079"/>
        <w:gridCol w:w="1692"/>
        <w:gridCol w:w="8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海兴县2019年党群系统公开招聘事业单位工作人员岗位设置一览表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招聘岗位类别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计划招聘人数与进入面试人选比例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海兴县委统战部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海兴县民族宗教联络中心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综合类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汉语言文学、汉语言、应用语言学、秘书学、中国语言文化、法学类、政治学类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全日制普通类高等院校本科及以上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35周岁及以下（1983年11月21日以后出生）；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硕士以上研究生40周岁及以下（1978年11月21日以后出生）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限少数民族；限男性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综合类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汉语言文学、汉语言、应用语言学、秘书学、中国语言文化、法学类、政治学类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全日制普通类高等院校本科及以上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35周岁及以下（1983年11月21日以后出生）；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硕士以上研究生40周岁及以下（1978年11月21日以后出生）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海兴县辖区户籍（或生源地）；限女性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海兴县委政法委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海兴县政法信息网络中心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综合类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汉语言文学、汉语言、应用语言学、秘书学、中国语言文化、文秘教育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全日制普通类高等院校本科及以上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35周岁及以下（1983年11月21日以后出生）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海兴县辖区户籍（或生源地）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海兴县委网信办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海兴县互联网信息管理中心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0004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综合类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全日制普通类高等院校本科及以上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35周岁及以下（1983年11月21日以后出生）；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硕士以上研究生40周岁及以下（1978年11月21日以后出生）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海兴县辖区户籍（或生源地）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海兴县信访局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海兴县信访投诉服务中心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综合类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全日制普通类高等院校本科及以上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35周岁及以下（1983年11月21日以后出生）；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硕士以上研究生40周岁及以下（1978年11月21日以后出生）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共青团海兴县委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海兴县青年志愿者行动指导中心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综合类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全日制普通类高等院校大专及以上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30周岁及以下（1988年11月21日以后出生）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757" w:bottom="153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14F41"/>
    <w:rsid w:val="011A1FF6"/>
    <w:rsid w:val="06C14F41"/>
    <w:rsid w:val="17EE0F97"/>
    <w:rsid w:val="2EA10C98"/>
    <w:rsid w:val="56606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2019-11-12T09:37:00Z</dcterms:created>
  <dc:creator>梁上君</dc:creator>
  <cp:lastModifiedBy>梁上君</cp:lastModifiedBy>
  <cp:lastPrinted>2019-11-12T09:41:00Z</cp:lastPrinted>
  <dcterms:modified xsi:type="dcterms:W3CDTF">2019-11-12T10:02:28Z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