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eastAsia="方正小标宋_GBK" w:cs="方正小标宋简体"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Cs/>
          <w:sz w:val="44"/>
          <w:szCs w:val="44"/>
        </w:rPr>
        <w:t>附件2</w:t>
      </w:r>
    </w:p>
    <w:p>
      <w:pPr>
        <w:pStyle w:val="4"/>
        <w:widowControl/>
        <w:spacing w:before="0" w:beforeAutospacing="0" w:after="0" w:afterAutospacing="0" w:line="405" w:lineRule="atLeast"/>
        <w:jc w:val="center"/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</w:rPr>
        <w:t>蓬安县2019年下半年面向全国考核招聘急需紧缺卫生专业技术人员</w:t>
      </w:r>
    </w:p>
    <w:p>
      <w:pPr>
        <w:spacing w:after="156" w:afterLines="50" w:line="520" w:lineRule="exact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面试方式及主要范围一览表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1680"/>
        <w:gridCol w:w="1680"/>
        <w:gridCol w:w="4342"/>
        <w:gridCol w:w="1180"/>
        <w:gridCol w:w="1180"/>
        <w:gridCol w:w="1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  <w:jc w:val="center"/>
        </w:trPr>
        <w:tc>
          <w:tcPr>
            <w:tcW w:w="232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面试方式</w:t>
            </w:r>
          </w:p>
        </w:tc>
        <w:tc>
          <w:tcPr>
            <w:tcW w:w="670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面试主要范围</w:t>
            </w:r>
          </w:p>
        </w:tc>
        <w:tc>
          <w:tcPr>
            <w:tcW w:w="118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Header/>
          <w:jc w:val="center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43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结构化面试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专业技能</w:t>
            </w:r>
            <w:r>
              <w:rPr>
                <w:rFonts w:ascii="黑体" w:hAnsi="宋体" w:eastAsia="黑体" w:cs="黑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操作</w:t>
            </w:r>
            <w:r>
              <w:rPr>
                <w:rFonts w:ascii="黑体" w:hAnsi="宋体" w:eastAsia="黑体" w:cs="黑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临床医疗（一）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434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意愿素质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动机愿望、职业责任感、敬业精神、竞争意识、兴趣爱好等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、智能素质（应变能力、语言表达能力、综合分析能力、逻辑思维能力、业务能力、创新能力、组织管理能力、人际协调能力等）、人格素质（举止仪表、性格气质、适应野外工作身体条件等）和知识素质（岗位所需的综合知识、专业知识及相关知识等）。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临床医疗（二）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临床医疗（三）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中医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麻醉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口腔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医学影像诊断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儿科医师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心脑电图诊断医师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00" w:firstLineChars="100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急诊医师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434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意愿素质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动机愿望、职业责任感、敬业精神、竞争意识、兴趣爱好等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、智能素质（应变能力、语言表达能力、综合分析能力、逻辑思维能力、业务能力、创新能力、组织管理能力、人际协调能力等）、人格素质（举止仪表、性格气质、适应野外工作身体条件等）和知识素质（岗位所需的综合知识、专业知识及相关知识等）。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妇产医师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肾内科医师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心血管医师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外科医师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耳鼻喉科医师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肛肠医师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肿瘤医师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ICU医师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内科医师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县中医医院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诊断医师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</w:rPr>
              <w:t>县疾病预防控制中心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</w:rPr>
              <w:t>公共卫生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4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72BC"/>
    <w:rsid w:val="4C1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2019-11-18T02:15:00Z</dcterms:created>
  <dc:creator>_Tr y.</dc:creator>
  <cp:lastModifiedBy>_Tr y.</cp:lastModifiedBy>
  <dcterms:modified xsi:type="dcterms:W3CDTF">2019-11-18T02:17:09Z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