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eastAsia="仿宋_GB2312"/>
          <w:b w:val="0"/>
          <w:bCs w:val="0"/>
          <w:sz w:val="30"/>
          <w:szCs w:val="30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附件</w:t>
      </w:r>
      <w:r>
        <w:rPr>
          <w:rFonts w:ascii="黑体" w:eastAsia="黑体"/>
          <w:b w:val="0"/>
          <w:bCs w:val="0"/>
          <w:sz w:val="30"/>
          <w:szCs w:val="30"/>
        </w:rPr>
        <w:t>4</w:t>
      </w:r>
    </w:p>
    <w:p>
      <w:pPr>
        <w:spacing w:line="576" w:lineRule="exact"/>
        <w:jc w:val="center"/>
        <w:rPr>
          <w:rFonts w:ascii="方正小标宋简体" w:eastAsia="方正小标宋简体"/>
          <w:b/>
          <w:w w:val="95"/>
          <w:sz w:val="44"/>
          <w:szCs w:val="44"/>
        </w:rPr>
      </w:pPr>
      <w:r>
        <w:rPr>
          <w:rFonts w:hint="eastAsia" w:ascii="方正小标宋简体" w:eastAsia="方正小标宋简体"/>
          <w:b/>
          <w:w w:val="95"/>
          <w:sz w:val="44"/>
          <w:szCs w:val="44"/>
        </w:rPr>
        <w:t>事业单位公开招聘免收笔试费相关规定</w:t>
      </w: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具有下列情形之一者，可免收笔试费：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1.根据《国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务院关于在全国建立农村最低生活保障制度的通知》（国发〔2007〕19号）、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3.父母双亡、父母一方为烈士或一级伤残军人，且生活十分困难家庭的考生。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4.因疾病、意外灾难等原因，导致一时不能维持基本生活的特殊困难家庭考生。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上述情形1的特困考生凭县（市、区）民政部门发放的享受最低生活保障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162B3"/>
    <w:rsid w:val="0F6162B3"/>
    <w:rsid w:val="41D4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2019-09-10T08:53:00Z</dcterms:created>
  <dc:creator>赛赛赛赛赛赛</dc:creator>
  <cp:lastModifiedBy>赛赛赛赛赛赛</cp:lastModifiedBy>
  <dcterms:modified xsi:type="dcterms:W3CDTF">2019-10-10T08:18:52Z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