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rPr>
          <w:rFonts w:hint="eastAsia" w:ascii="仿宋_GB2312" w:hAnsi="宋体" w:eastAsia="仿宋_GB2312" w:cs="宋体"/>
          <w:sz w:val="32"/>
          <w:szCs w:val="32"/>
        </w:rPr>
      </w:pPr>
      <w:r>
        <w:rPr>
          <w:rFonts w:hint="eastAsia" w:ascii="仿宋_GB2312" w:hAnsi="宋体" w:eastAsia="仿宋_GB2312" w:cs="宋体"/>
          <w:sz w:val="32"/>
          <w:szCs w:val="32"/>
        </w:rPr>
        <w:t>附件2</w:t>
      </w:r>
    </w:p>
    <w:p>
      <w:pPr>
        <w:rPr>
          <w:rFonts w:hint="eastAsia"/>
          <w:lang w:val="en-US" w:eastAsia="zh-CN"/>
        </w:rPr>
      </w:pPr>
      <w:r>
        <w:rPr>
          <w:rFonts w:hint="eastAsia"/>
          <w:lang w:val="en-US" w:eastAsia="zh-CN"/>
        </w:rPr>
        <w:t xml:space="preserve"> </w:t>
      </w:r>
    </w:p>
    <w:p>
      <w:pPr>
        <w:jc w:val="center"/>
        <w:rPr>
          <w:rFonts w:hint="eastAsia" w:ascii="黑体" w:eastAsia="黑体"/>
          <w:b/>
          <w:bCs/>
          <w:sz w:val="44"/>
          <w:szCs w:val="44"/>
          <w:lang w:eastAsia="zh-CN"/>
        </w:rPr>
      </w:pPr>
      <w:r>
        <w:rPr>
          <w:rFonts w:hint="eastAsia"/>
          <w:lang w:val="en-US" w:eastAsia="zh-CN"/>
        </w:rPr>
        <w:t xml:space="preserve">   </w:t>
      </w:r>
      <w:r>
        <w:rPr>
          <w:rFonts w:hint="eastAsia" w:ascii="黑体" w:eastAsia="黑体"/>
          <w:b/>
          <w:bCs/>
          <w:sz w:val="44"/>
          <w:szCs w:val="44"/>
        </w:rPr>
        <w:t>2019年东昌府区</w:t>
      </w:r>
      <w:r>
        <w:rPr>
          <w:rFonts w:hint="eastAsia" w:ascii="黑体" w:eastAsia="黑体"/>
          <w:b/>
          <w:bCs/>
          <w:sz w:val="44"/>
          <w:szCs w:val="44"/>
          <w:lang w:eastAsia="zh-CN"/>
        </w:rPr>
        <w:t>教育事业单位</w:t>
      </w:r>
    </w:p>
    <w:p>
      <w:pPr>
        <w:jc w:val="center"/>
        <w:rPr>
          <w:rFonts w:hint="eastAsia" w:ascii="黑体" w:hAnsi="黑体" w:eastAsia="黑体" w:cs="黑体"/>
          <w:b/>
          <w:sz w:val="44"/>
          <w:szCs w:val="44"/>
        </w:rPr>
      </w:pPr>
      <w:r>
        <w:rPr>
          <w:rFonts w:hint="eastAsia" w:ascii="黑体" w:hAnsi="黑体" w:eastAsia="黑体" w:cs="黑体"/>
          <w:b/>
          <w:bCs/>
          <w:color w:val="000000"/>
          <w:sz w:val="44"/>
          <w:szCs w:val="44"/>
          <w:lang w:val="en-US" w:eastAsia="zh-CN"/>
        </w:rPr>
        <w:t xml:space="preserve"> </w:t>
      </w:r>
      <w:r>
        <w:rPr>
          <w:rFonts w:hint="eastAsia" w:ascii="黑体" w:hAnsi="黑体" w:eastAsia="黑体" w:cs="黑体"/>
          <w:b/>
          <w:bCs/>
          <w:color w:val="000000"/>
          <w:sz w:val="44"/>
          <w:szCs w:val="44"/>
          <w:lang w:eastAsia="zh-CN"/>
        </w:rPr>
        <w:t>公开招聘优秀教师</w:t>
      </w:r>
      <w:r>
        <w:rPr>
          <w:rFonts w:hint="eastAsia" w:ascii="黑体" w:hAnsi="黑体" w:eastAsia="黑体" w:cs="黑体"/>
          <w:b/>
          <w:kern w:val="10"/>
          <w:sz w:val="44"/>
          <w:szCs w:val="44"/>
        </w:rPr>
        <w:t>应聘须知</w:t>
      </w:r>
    </w:p>
    <w:p>
      <w:pPr>
        <w:keepNext w:val="0"/>
        <w:keepLines w:val="0"/>
        <w:pageBreakBefore w:val="0"/>
        <w:widowControl w:val="0"/>
        <w:kinsoku/>
        <w:wordWrap/>
        <w:overflowPunct/>
        <w:topLinePunct w:val="0"/>
        <w:bidi w:val="0"/>
        <w:spacing w:line="580" w:lineRule="exact"/>
        <w:textAlignment w:val="auto"/>
        <w:outlineLvl w:val="9"/>
        <w:rPr>
          <w:rFonts w:hint="eastAsia" w:ascii="楷体_GB2312" w:eastAsia="楷体_GB2312"/>
          <w:b/>
          <w:sz w:val="32"/>
          <w:szCs w:val="20"/>
        </w:rPr>
      </w:pPr>
    </w:p>
    <w:p>
      <w:pPr>
        <w:keepNext w:val="0"/>
        <w:keepLines w:val="0"/>
        <w:pageBreakBefore w:val="0"/>
        <w:widowControl w:val="0"/>
        <w:kinsoku/>
        <w:wordWrap/>
        <w:overflowPunct/>
        <w:topLinePunct w:val="0"/>
        <w:bidi w:val="0"/>
        <w:spacing w:line="600" w:lineRule="exact"/>
        <w:ind w:firstLine="643" w:firstLineChars="200"/>
        <w:textAlignment w:val="auto"/>
        <w:outlineLvl w:val="9"/>
        <w:rPr>
          <w:rFonts w:ascii="楷体_GB2312" w:eastAsia="楷体_GB2312"/>
          <w:b/>
          <w:sz w:val="32"/>
          <w:szCs w:val="20"/>
        </w:rPr>
      </w:pPr>
      <w:r>
        <w:rPr>
          <w:rFonts w:hint="eastAsia" w:ascii="楷体_GB2312" w:eastAsia="楷体_GB2312"/>
          <w:b/>
          <w:sz w:val="32"/>
          <w:szCs w:val="20"/>
        </w:rPr>
        <w:t>1.哪些人员可以应聘?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rPr>
        <w:t>按照事业单位公开招聘的相关规定，凡符合《2019年东昌府区</w:t>
      </w:r>
      <w:r>
        <w:rPr>
          <w:rFonts w:hint="eastAsia" w:ascii="仿宋_GB2312" w:hAnsi="仿宋" w:eastAsia="仿宋_GB2312" w:cs="仿宋"/>
          <w:bCs/>
          <w:color w:val="000000"/>
          <w:sz w:val="32"/>
          <w:szCs w:val="32"/>
          <w:lang w:eastAsia="zh-CN"/>
        </w:rPr>
        <w:t>教育事业单位公开招聘优秀教师简章</w:t>
      </w:r>
      <w:r>
        <w:rPr>
          <w:rFonts w:hint="eastAsia" w:ascii="仿宋_GB2312" w:hAnsi="仿宋" w:eastAsia="仿宋_GB2312" w:cs="仿宋"/>
          <w:bCs/>
          <w:color w:val="000000"/>
          <w:sz w:val="32"/>
          <w:szCs w:val="32"/>
        </w:rPr>
        <w:t>》(以下简称《简章》)规定的条件及招聘岗位资格条件者，均可应聘。</w:t>
      </w:r>
    </w:p>
    <w:p>
      <w:pPr>
        <w:keepNext w:val="0"/>
        <w:keepLines w:val="0"/>
        <w:pageBreakBefore w:val="0"/>
        <w:widowControl w:val="0"/>
        <w:numPr>
          <w:ilvl w:val="0"/>
          <w:numId w:val="0"/>
        </w:numPr>
        <w:kinsoku/>
        <w:wordWrap/>
        <w:overflowPunct/>
        <w:topLinePunct w:val="0"/>
        <w:bidi w:val="0"/>
        <w:spacing w:line="600" w:lineRule="exact"/>
        <w:ind w:left="735" w:leftChars="0"/>
        <w:textAlignment w:val="auto"/>
        <w:outlineLvl w:val="9"/>
        <w:rPr>
          <w:rFonts w:hint="eastAsia" w:ascii="楷体_GB2312" w:eastAsia="楷体_GB2312"/>
          <w:b/>
          <w:sz w:val="32"/>
          <w:szCs w:val="20"/>
        </w:rPr>
      </w:pPr>
      <w:r>
        <w:rPr>
          <w:rFonts w:hint="eastAsia" w:ascii="楷体_GB2312" w:eastAsia="楷体_GB2312"/>
          <w:b/>
          <w:sz w:val="32"/>
          <w:szCs w:val="20"/>
          <w:lang w:val="en-US" w:eastAsia="zh-CN"/>
        </w:rPr>
        <w:t>2.</w:t>
      </w:r>
      <w:r>
        <w:rPr>
          <w:rFonts w:hint="eastAsia" w:ascii="楷体_GB2312" w:eastAsia="楷体_GB2312"/>
          <w:b/>
          <w:sz w:val="32"/>
          <w:szCs w:val="20"/>
        </w:rPr>
        <w:t>个人简历如何填写？</w:t>
      </w:r>
    </w:p>
    <w:p>
      <w:pPr>
        <w:keepNext w:val="0"/>
        <w:keepLines w:val="0"/>
        <w:pageBreakBefore w:val="0"/>
        <w:widowControl w:val="0"/>
        <w:kinsoku/>
        <w:wordWrap/>
        <w:overflowPunct/>
        <w:topLinePunct w:val="0"/>
        <w:bidi w:val="0"/>
        <w:spacing w:line="600" w:lineRule="exact"/>
        <w:ind w:firstLine="640" w:firstLineChars="200"/>
        <w:textAlignment w:val="auto"/>
        <w:outlineLvl w:val="9"/>
        <w:rPr>
          <w:rFonts w:hint="eastAsia" w:ascii="楷体_GB2312" w:eastAsia="楷体_GB2312"/>
          <w:b/>
          <w:color w:val="auto"/>
          <w:sz w:val="32"/>
          <w:szCs w:val="20"/>
          <w:lang w:val="en-US" w:eastAsia="zh-CN"/>
        </w:rPr>
      </w:pPr>
      <w:r>
        <w:rPr>
          <w:rFonts w:hint="eastAsia" w:ascii="仿宋_GB2312" w:eastAsia="仿宋_GB2312"/>
          <w:color w:val="auto"/>
          <w:sz w:val="32"/>
          <w:szCs w:val="32"/>
        </w:rPr>
        <w:t>个人简历须从初中开始填写，到201</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12</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日止。简历内容必须真实、准确、连贯、完整，有工作经历的要如实填写。</w:t>
      </w:r>
    </w:p>
    <w:p>
      <w:pPr>
        <w:keepNext w:val="0"/>
        <w:keepLines w:val="0"/>
        <w:pageBreakBefore w:val="0"/>
        <w:widowControl w:val="0"/>
        <w:kinsoku/>
        <w:wordWrap/>
        <w:overflowPunct/>
        <w:topLinePunct w:val="0"/>
        <w:bidi w:val="0"/>
        <w:snapToGrid w:val="0"/>
        <w:spacing w:line="600" w:lineRule="exact"/>
        <w:ind w:firstLine="643" w:firstLineChars="200"/>
        <w:textAlignment w:val="auto"/>
        <w:outlineLvl w:val="9"/>
        <w:rPr>
          <w:rFonts w:ascii="楷体_GB2312" w:eastAsia="楷体_GB2312"/>
          <w:b/>
          <w:sz w:val="32"/>
          <w:szCs w:val="20"/>
        </w:rPr>
      </w:pPr>
      <w:r>
        <w:rPr>
          <w:rFonts w:hint="eastAsia" w:ascii="楷体_GB2312" w:eastAsia="楷体_GB2312"/>
          <w:b/>
          <w:sz w:val="32"/>
          <w:szCs w:val="20"/>
          <w:lang w:val="en-US" w:eastAsia="zh-CN"/>
        </w:rPr>
        <w:t>3</w:t>
      </w:r>
      <w:r>
        <w:rPr>
          <w:rFonts w:hint="eastAsia" w:ascii="楷体_GB2312" w:eastAsia="楷体_GB2312"/>
          <w:b/>
          <w:sz w:val="32"/>
          <w:szCs w:val="20"/>
        </w:rPr>
        <w:t>.对学历学位及相关证书取得时间有什么要求？</w:t>
      </w:r>
    </w:p>
    <w:p>
      <w:pPr>
        <w:keepNext w:val="0"/>
        <w:keepLines w:val="0"/>
        <w:pageBreakBefore w:val="0"/>
        <w:widowControl w:val="0"/>
        <w:kinsoku/>
        <w:wordWrap/>
        <w:overflowPunct/>
        <w:topLinePunct w:val="0"/>
        <w:bidi w:val="0"/>
        <w:snapToGrid w:val="0"/>
        <w:spacing w:line="600" w:lineRule="exact"/>
        <w:ind w:firstLine="640" w:firstLineChars="200"/>
        <w:textAlignment w:val="auto"/>
        <w:outlineLvl w:val="9"/>
        <w:rPr>
          <w:rFonts w:ascii="仿宋_GB2312" w:eastAsia="仿宋_GB2312"/>
          <w:color w:val="auto"/>
          <w:sz w:val="32"/>
          <w:szCs w:val="32"/>
        </w:rPr>
      </w:pPr>
      <w:r>
        <w:rPr>
          <w:rFonts w:hint="eastAsia" w:ascii="仿宋_GB2312" w:eastAsia="仿宋_GB2312"/>
          <w:color w:val="auto"/>
          <w:sz w:val="32"/>
          <w:szCs w:val="32"/>
        </w:rPr>
        <w:t>须在201</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12</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日前取得国家承认的学历学位及</w:t>
      </w:r>
      <w:r>
        <w:rPr>
          <w:rFonts w:hint="eastAsia" w:ascii="仿宋_GB2312" w:hAnsi="宋体" w:eastAsia="仿宋_GB2312" w:cs="宋体"/>
          <w:color w:val="auto"/>
          <w:kern w:val="0"/>
          <w:sz w:val="32"/>
          <w:szCs w:val="32"/>
          <w:lang w:val="zh-CN"/>
        </w:rPr>
        <w:t>教师资格证</w:t>
      </w:r>
      <w:r>
        <w:rPr>
          <w:rFonts w:hint="eastAsia" w:ascii="仿宋_GB2312" w:eastAsia="仿宋_GB2312"/>
          <w:color w:val="auto"/>
          <w:sz w:val="32"/>
          <w:szCs w:val="32"/>
        </w:rPr>
        <w:t>等相关证书。</w:t>
      </w:r>
    </w:p>
    <w:p>
      <w:pPr>
        <w:keepNext w:val="0"/>
        <w:keepLines w:val="0"/>
        <w:pageBreakBefore w:val="0"/>
        <w:widowControl w:val="0"/>
        <w:kinsoku/>
        <w:wordWrap/>
        <w:overflowPunct/>
        <w:topLinePunct w:val="0"/>
        <w:bidi w:val="0"/>
        <w:snapToGrid w:val="0"/>
        <w:spacing w:line="600" w:lineRule="exact"/>
        <w:ind w:firstLine="643" w:firstLineChars="200"/>
        <w:textAlignment w:val="auto"/>
        <w:outlineLvl w:val="9"/>
        <w:rPr>
          <w:rFonts w:ascii="楷体_GB2312" w:eastAsia="楷体_GB2312"/>
          <w:b/>
          <w:sz w:val="32"/>
          <w:szCs w:val="20"/>
        </w:rPr>
      </w:pPr>
      <w:r>
        <w:rPr>
          <w:rFonts w:hint="eastAsia" w:ascii="楷体_GB2312" w:eastAsia="楷体_GB2312"/>
          <w:b/>
          <w:sz w:val="32"/>
          <w:szCs w:val="20"/>
          <w:lang w:val="en-US" w:eastAsia="zh-CN"/>
        </w:rPr>
        <w:t>4</w:t>
      </w:r>
      <w:r>
        <w:rPr>
          <w:rFonts w:hint="eastAsia" w:ascii="楷体_GB2312" w:eastAsia="楷体_GB2312"/>
          <w:b/>
          <w:sz w:val="32"/>
          <w:szCs w:val="20"/>
        </w:rPr>
        <w:t>.学历学位高于岗位要求的人员能否应聘？</w:t>
      </w:r>
    </w:p>
    <w:p>
      <w:pPr>
        <w:keepNext w:val="0"/>
        <w:keepLines w:val="0"/>
        <w:pageBreakBefore w:val="0"/>
        <w:widowControl w:val="0"/>
        <w:kinsoku/>
        <w:wordWrap/>
        <w:overflowPunct/>
        <w:topLinePunct w:val="0"/>
        <w:bidi w:val="0"/>
        <w:snapToGrid w:val="0"/>
        <w:spacing w:line="60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学历学位高于岗位要求，专业条件符合岗位规定的可以应聘。</w:t>
      </w:r>
    </w:p>
    <w:p>
      <w:pPr>
        <w:keepNext w:val="0"/>
        <w:keepLines w:val="0"/>
        <w:pageBreakBefore w:val="0"/>
        <w:widowControl w:val="0"/>
        <w:kinsoku/>
        <w:wordWrap/>
        <w:overflowPunct/>
        <w:topLinePunct w:val="0"/>
        <w:bidi w:val="0"/>
        <w:snapToGrid w:val="0"/>
        <w:spacing w:line="600" w:lineRule="exact"/>
        <w:ind w:firstLine="643" w:firstLineChars="200"/>
        <w:textAlignment w:val="auto"/>
        <w:outlineLvl w:val="9"/>
        <w:rPr>
          <w:rFonts w:ascii="楷体_GB2312" w:eastAsia="楷体_GB2312"/>
          <w:b/>
          <w:sz w:val="32"/>
          <w:szCs w:val="20"/>
        </w:rPr>
      </w:pPr>
      <w:r>
        <w:rPr>
          <w:rFonts w:hint="eastAsia" w:ascii="楷体_GB2312" w:eastAsia="楷体_GB2312"/>
          <w:b/>
          <w:sz w:val="32"/>
          <w:szCs w:val="20"/>
          <w:lang w:val="en-US" w:eastAsia="zh-CN"/>
        </w:rPr>
        <w:t>5</w:t>
      </w:r>
      <w:r>
        <w:rPr>
          <w:rFonts w:hint="eastAsia" w:ascii="楷体_GB2312" w:eastAsia="楷体_GB2312"/>
          <w:b/>
          <w:sz w:val="32"/>
          <w:szCs w:val="20"/>
        </w:rPr>
        <w:t>.如何界定应聘人员所学专业？</w:t>
      </w:r>
    </w:p>
    <w:p>
      <w:pPr>
        <w:keepNext w:val="0"/>
        <w:keepLines w:val="0"/>
        <w:pageBreakBefore w:val="0"/>
        <w:widowControl w:val="0"/>
        <w:kinsoku/>
        <w:wordWrap/>
        <w:overflowPunct/>
        <w:topLinePunct w:val="0"/>
        <w:bidi w:val="0"/>
        <w:spacing w:line="60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以应聘人员毕业证书上注明的专业为准。</w:t>
      </w:r>
    </w:p>
    <w:p>
      <w:pPr>
        <w:keepNext w:val="0"/>
        <w:keepLines w:val="0"/>
        <w:pageBreakBefore w:val="0"/>
        <w:widowControl w:val="0"/>
        <w:numPr>
          <w:ilvl w:val="0"/>
          <w:numId w:val="0"/>
        </w:numPr>
        <w:kinsoku/>
        <w:wordWrap/>
        <w:overflowPunct/>
        <w:topLinePunct w:val="0"/>
        <w:bidi w:val="0"/>
        <w:spacing w:line="600" w:lineRule="exact"/>
        <w:ind w:firstLine="643" w:firstLineChars="200"/>
        <w:textAlignment w:val="auto"/>
        <w:outlineLvl w:val="9"/>
        <w:rPr>
          <w:rFonts w:hint="eastAsia" w:ascii="楷体_GB2312" w:eastAsia="楷体_GB2312"/>
          <w:b/>
          <w:color w:val="auto"/>
          <w:sz w:val="32"/>
          <w:szCs w:val="20"/>
          <w:highlight w:val="none"/>
          <w:lang w:val="en-US" w:eastAsia="zh-CN"/>
        </w:rPr>
      </w:pPr>
      <w:r>
        <w:rPr>
          <w:rFonts w:hint="eastAsia" w:ascii="楷体_GB2312" w:eastAsia="楷体_GB2312"/>
          <w:b/>
          <w:color w:val="auto"/>
          <w:sz w:val="32"/>
          <w:szCs w:val="20"/>
          <w:highlight w:val="none"/>
          <w:lang w:val="en-US" w:eastAsia="zh-CN"/>
        </w:rPr>
        <w:t>6.岗位101-107荣誉称号的具体要求是什么？</w:t>
      </w:r>
    </w:p>
    <w:p>
      <w:pPr>
        <w:keepNext w:val="0"/>
        <w:keepLines w:val="0"/>
        <w:pageBreakBefore w:val="0"/>
        <w:widowControl w:val="0"/>
        <w:kinsoku/>
        <w:wordWrap/>
        <w:overflowPunct/>
        <w:topLinePunct w:val="0"/>
        <w:bidi w:val="0"/>
        <w:spacing w:line="600" w:lineRule="exact"/>
        <w:ind w:firstLine="640" w:firstLineChars="200"/>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(1)岗位101-106的荣誉称号须具有以下条件之一：</w:t>
      </w:r>
    </w:p>
    <w:p>
      <w:pPr>
        <w:keepNext w:val="0"/>
        <w:keepLines w:val="0"/>
        <w:pageBreakBefore w:val="0"/>
        <w:widowControl w:val="0"/>
        <w:kinsoku/>
        <w:wordWrap/>
        <w:overflowPunct/>
        <w:topLinePunct w:val="0"/>
        <w:bidi w:val="0"/>
        <w:spacing w:line="600" w:lineRule="exact"/>
        <w:ind w:firstLine="640" w:firstLineChars="200"/>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①同时具有市级或以上综合奖励和优质课；</w:t>
      </w:r>
    </w:p>
    <w:p>
      <w:pPr>
        <w:keepNext w:val="0"/>
        <w:keepLines w:val="0"/>
        <w:pageBreakBefore w:val="0"/>
        <w:widowControl w:val="0"/>
        <w:kinsoku/>
        <w:wordWrap/>
        <w:overflowPunct/>
        <w:topLinePunct w:val="0"/>
        <w:bidi w:val="0"/>
        <w:spacing w:line="600" w:lineRule="exact"/>
        <w:ind w:firstLine="640" w:firstLineChars="200"/>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②具有市级或以上教学能手称号；</w:t>
      </w:r>
    </w:p>
    <w:p>
      <w:pPr>
        <w:keepNext w:val="0"/>
        <w:keepLines w:val="0"/>
        <w:pageBreakBefore w:val="0"/>
        <w:widowControl w:val="0"/>
        <w:kinsoku/>
        <w:wordWrap/>
        <w:overflowPunct/>
        <w:topLinePunct w:val="0"/>
        <w:bidi w:val="0"/>
        <w:spacing w:line="600" w:lineRule="exact"/>
        <w:ind w:firstLine="640" w:firstLineChars="200"/>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③具有市级或以上名师、名校长称号；</w:t>
      </w:r>
    </w:p>
    <w:p>
      <w:pPr>
        <w:keepNext w:val="0"/>
        <w:keepLines w:val="0"/>
        <w:pageBreakBefore w:val="0"/>
        <w:widowControl w:val="0"/>
        <w:kinsoku/>
        <w:wordWrap/>
        <w:overflowPunct/>
        <w:topLinePunct w:val="0"/>
        <w:bidi w:val="0"/>
        <w:spacing w:line="600" w:lineRule="exact"/>
        <w:ind w:firstLine="640" w:firstLineChars="200"/>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(2)岗位107的荣誉称号须具有以下条件之一：</w:t>
      </w:r>
    </w:p>
    <w:p>
      <w:pPr>
        <w:keepNext w:val="0"/>
        <w:keepLines w:val="0"/>
        <w:pageBreakBefore w:val="0"/>
        <w:widowControl w:val="0"/>
        <w:kinsoku/>
        <w:wordWrap/>
        <w:overflowPunct/>
        <w:topLinePunct w:val="0"/>
        <w:bidi w:val="0"/>
        <w:spacing w:line="600" w:lineRule="exact"/>
        <w:ind w:firstLine="640" w:firstLineChars="200"/>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①同时具有县级或以上综合奖励和优质课；</w:t>
      </w:r>
    </w:p>
    <w:p>
      <w:pPr>
        <w:keepNext w:val="0"/>
        <w:keepLines w:val="0"/>
        <w:pageBreakBefore w:val="0"/>
        <w:widowControl w:val="0"/>
        <w:kinsoku/>
        <w:wordWrap/>
        <w:overflowPunct/>
        <w:topLinePunct w:val="0"/>
        <w:bidi w:val="0"/>
        <w:spacing w:line="600" w:lineRule="exact"/>
        <w:ind w:firstLine="640" w:firstLineChars="200"/>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②具有县级或以上教学能手称号；</w:t>
      </w:r>
    </w:p>
    <w:p>
      <w:pPr>
        <w:keepNext w:val="0"/>
        <w:keepLines w:val="0"/>
        <w:pageBreakBefore w:val="0"/>
        <w:widowControl w:val="0"/>
        <w:kinsoku/>
        <w:wordWrap/>
        <w:overflowPunct/>
        <w:topLinePunct w:val="0"/>
        <w:bidi w:val="0"/>
        <w:spacing w:line="600" w:lineRule="exact"/>
        <w:ind w:firstLine="640" w:firstLineChars="200"/>
        <w:textAlignment w:val="auto"/>
        <w:outlineLvl w:val="9"/>
        <w:rPr>
          <w:rFonts w:hint="eastAsia" w:ascii="仿宋_GB2312" w:eastAsia="仿宋_GB2312"/>
          <w:color w:val="FF0000"/>
          <w:sz w:val="32"/>
          <w:szCs w:val="32"/>
          <w:lang w:val="en-US" w:eastAsia="zh-CN"/>
        </w:rPr>
      </w:pPr>
      <w:r>
        <w:rPr>
          <w:rFonts w:hint="eastAsia" w:ascii="仿宋_GB2312" w:eastAsia="仿宋_GB2312"/>
          <w:color w:val="auto"/>
          <w:sz w:val="32"/>
          <w:szCs w:val="32"/>
          <w:lang w:val="en-US" w:eastAsia="zh-CN"/>
        </w:rPr>
        <w:t>③具有县级或以上名师、名校长称号；</w:t>
      </w:r>
    </w:p>
    <w:p>
      <w:pPr>
        <w:keepNext w:val="0"/>
        <w:keepLines w:val="0"/>
        <w:pageBreakBefore w:val="0"/>
        <w:widowControl w:val="0"/>
        <w:kinsoku/>
        <w:wordWrap/>
        <w:overflowPunct/>
        <w:topLinePunct w:val="0"/>
        <w:bidi w:val="0"/>
        <w:spacing w:line="600" w:lineRule="exact"/>
        <w:ind w:firstLine="640" w:firstLineChars="200"/>
        <w:textAlignment w:val="auto"/>
        <w:outlineLvl w:val="9"/>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综合奖励和名师、名校长须由党委、政府或教育、人社部门联合颁发。</w:t>
      </w:r>
    </w:p>
    <w:p>
      <w:pPr>
        <w:keepNext w:val="0"/>
        <w:keepLines w:val="0"/>
        <w:pageBreakBefore w:val="0"/>
        <w:widowControl w:val="0"/>
        <w:numPr>
          <w:ilvl w:val="0"/>
          <w:numId w:val="0"/>
        </w:numPr>
        <w:kinsoku/>
        <w:wordWrap/>
        <w:overflowPunct/>
        <w:topLinePunct w:val="0"/>
        <w:bidi w:val="0"/>
        <w:spacing w:line="600" w:lineRule="exact"/>
        <w:ind w:firstLine="643" w:firstLineChars="200"/>
        <w:textAlignment w:val="auto"/>
        <w:outlineLvl w:val="9"/>
        <w:rPr>
          <w:rFonts w:ascii="楷体_GB2312" w:eastAsia="楷体_GB2312"/>
          <w:b/>
          <w:sz w:val="32"/>
          <w:szCs w:val="20"/>
          <w:highlight w:val="none"/>
        </w:rPr>
      </w:pPr>
      <w:r>
        <w:rPr>
          <w:rFonts w:hint="eastAsia" w:ascii="楷体_GB2312" w:eastAsia="楷体_GB2312"/>
          <w:b/>
          <w:sz w:val="32"/>
          <w:szCs w:val="20"/>
          <w:highlight w:val="none"/>
          <w:lang w:val="en-US" w:eastAsia="zh-CN"/>
        </w:rPr>
        <w:t>7.</w:t>
      </w:r>
      <w:r>
        <w:rPr>
          <w:rFonts w:hint="eastAsia" w:ascii="楷体_GB2312" w:eastAsia="楷体_GB2312"/>
          <w:b/>
          <w:sz w:val="32"/>
          <w:szCs w:val="20"/>
          <w:highlight w:val="none"/>
        </w:rPr>
        <w:t>东昌府区行政辖区的具体范围是什么？</w:t>
      </w:r>
    </w:p>
    <w:p>
      <w:pPr>
        <w:keepNext w:val="0"/>
        <w:keepLines w:val="0"/>
        <w:pageBreakBefore w:val="0"/>
        <w:widowControl w:val="0"/>
        <w:kinsoku/>
        <w:wordWrap/>
        <w:overflowPunct/>
        <w:topLinePunct w:val="0"/>
        <w:bidi w:val="0"/>
        <w:spacing w:line="600" w:lineRule="exact"/>
        <w:ind w:firstLine="640" w:firstLineChars="200"/>
        <w:textAlignment w:val="auto"/>
        <w:outlineLvl w:val="9"/>
        <w:rPr>
          <w:rFonts w:ascii="仿宋_GB2312" w:hAnsi="仿宋" w:eastAsia="仿宋_GB2312" w:cs="仿宋"/>
          <w:bCs/>
          <w:sz w:val="32"/>
          <w:szCs w:val="32"/>
          <w:highlight w:val="none"/>
        </w:rPr>
      </w:pPr>
      <w:r>
        <w:rPr>
          <w:rFonts w:hint="eastAsia" w:ascii="仿宋_GB2312" w:hAnsi="仿宋" w:eastAsia="仿宋_GB2312" w:cs="仿宋"/>
          <w:bCs/>
          <w:sz w:val="32"/>
          <w:szCs w:val="32"/>
          <w:highlight w:val="none"/>
        </w:rPr>
        <w:t>堂邑镇、郑家镇、张炉集镇、侯营镇、沙镇镇、斗虎屯镇、梁水镇镇、闫寺街道办事处、道口铺街道办事处、新区街道办事处、柳园街道办事处（不含划至高新区的八里王、东赵）、古楼街道办事处（不含划至湖西街道办事处的邓园、邓楼、刘庄、谢园；含原湖西街道办事处划至古楼街道办事处的以下各村：前八、十二里营、郑楼、母向、八东、八西、贾庄、魏大庙、岳庄、聊堤口、北顾、许窑、张油坊）</w:t>
      </w:r>
      <w:r>
        <w:rPr>
          <w:rFonts w:hint="eastAsia" w:ascii="仿宋_GB2312" w:hAnsi="仿宋" w:eastAsia="仿宋_GB2312" w:cs="仿宋"/>
          <w:bCs/>
          <w:sz w:val="32"/>
          <w:szCs w:val="32"/>
          <w:highlight w:val="none"/>
          <w:lang w:eastAsia="zh-CN"/>
        </w:rPr>
        <w:t>、凤凰工业园、嘉明经济开发区</w:t>
      </w:r>
      <w:r>
        <w:rPr>
          <w:rFonts w:hint="eastAsia" w:ascii="仿宋_GB2312" w:hAnsi="仿宋" w:eastAsia="仿宋_GB2312" w:cs="仿宋"/>
          <w:bCs/>
          <w:sz w:val="32"/>
          <w:szCs w:val="32"/>
          <w:highlight w:val="none"/>
        </w:rPr>
        <w:t>。</w:t>
      </w:r>
    </w:p>
    <w:p>
      <w:pPr>
        <w:keepNext w:val="0"/>
        <w:keepLines w:val="0"/>
        <w:pageBreakBefore w:val="0"/>
        <w:widowControl w:val="0"/>
        <w:numPr>
          <w:ilvl w:val="0"/>
          <w:numId w:val="0"/>
        </w:numPr>
        <w:kinsoku/>
        <w:wordWrap/>
        <w:overflowPunct/>
        <w:topLinePunct w:val="0"/>
        <w:bidi w:val="0"/>
        <w:spacing w:line="600" w:lineRule="exact"/>
        <w:ind w:firstLine="643" w:firstLineChars="200"/>
        <w:textAlignment w:val="auto"/>
        <w:outlineLvl w:val="9"/>
        <w:rPr>
          <w:rFonts w:hint="eastAsia" w:ascii="楷体_GB2312" w:eastAsia="楷体_GB2312"/>
          <w:b/>
          <w:sz w:val="32"/>
          <w:szCs w:val="20"/>
          <w:highlight w:val="none"/>
          <w:u w:val="none"/>
          <w:lang w:eastAsia="zh-CN"/>
        </w:rPr>
      </w:pPr>
      <w:r>
        <w:rPr>
          <w:rFonts w:hint="eastAsia" w:ascii="楷体_GB2312" w:eastAsia="楷体_GB2312"/>
          <w:b/>
          <w:sz w:val="32"/>
          <w:szCs w:val="20"/>
          <w:highlight w:val="none"/>
          <w:u w:val="none"/>
          <w:lang w:val="en-US" w:eastAsia="zh-CN"/>
        </w:rPr>
        <w:t>8.</w:t>
      </w:r>
      <w:r>
        <w:rPr>
          <w:rFonts w:hint="eastAsia" w:ascii="楷体_GB2312" w:eastAsia="楷体_GB2312"/>
          <w:b/>
          <w:sz w:val="32"/>
          <w:szCs w:val="20"/>
          <w:highlight w:val="none"/>
          <w:u w:val="none"/>
          <w:lang w:eastAsia="zh-CN"/>
        </w:rPr>
        <w:t>东昌府区行政辖区户籍有何具体要求？</w:t>
      </w:r>
    </w:p>
    <w:p>
      <w:pPr>
        <w:keepNext w:val="0"/>
        <w:keepLines w:val="0"/>
        <w:pageBreakBefore w:val="0"/>
        <w:widowControl w:val="0"/>
        <w:kinsoku/>
        <w:wordWrap/>
        <w:overflowPunct/>
        <w:topLinePunct w:val="0"/>
        <w:bidi w:val="0"/>
        <w:spacing w:line="600" w:lineRule="exact"/>
        <w:ind w:firstLine="640" w:firstLineChars="200"/>
        <w:textAlignment w:val="auto"/>
        <w:outlineLvl w:val="9"/>
        <w:rPr>
          <w:rFonts w:hint="eastAsia" w:ascii="仿宋_GB2312" w:hAnsi="仿宋" w:eastAsia="仿宋_GB2312" w:cs="仿宋"/>
          <w:bCs/>
          <w:sz w:val="32"/>
          <w:szCs w:val="32"/>
          <w:highlight w:val="none"/>
          <w:lang w:val="en-US" w:eastAsia="zh-CN"/>
        </w:rPr>
      </w:pPr>
      <w:r>
        <w:rPr>
          <w:rFonts w:hint="eastAsia" w:ascii="仿宋_GB2312" w:hAnsi="仿宋" w:eastAsia="仿宋_GB2312" w:cs="仿宋"/>
          <w:bCs/>
          <w:sz w:val="32"/>
          <w:szCs w:val="32"/>
          <w:highlight w:val="none"/>
          <w:lang w:eastAsia="zh-CN"/>
        </w:rPr>
        <w:t>须本人具有东昌府区行政辖区常驻户籍，常驻户籍迁入时间截止到2019年</w:t>
      </w:r>
      <w:r>
        <w:rPr>
          <w:rFonts w:hint="eastAsia" w:ascii="仿宋_GB2312" w:hAnsi="仿宋" w:eastAsia="仿宋_GB2312" w:cs="仿宋"/>
          <w:bCs/>
          <w:sz w:val="32"/>
          <w:szCs w:val="32"/>
          <w:highlight w:val="none"/>
          <w:lang w:val="en-US" w:eastAsia="zh-CN"/>
        </w:rPr>
        <w:t>12</w:t>
      </w:r>
      <w:r>
        <w:rPr>
          <w:rFonts w:hint="eastAsia" w:ascii="仿宋_GB2312" w:hAnsi="仿宋" w:eastAsia="仿宋_GB2312" w:cs="仿宋"/>
          <w:bCs/>
          <w:sz w:val="32"/>
          <w:szCs w:val="32"/>
          <w:highlight w:val="none"/>
          <w:lang w:eastAsia="zh-CN"/>
        </w:rPr>
        <w:t>月</w:t>
      </w:r>
      <w:r>
        <w:rPr>
          <w:rFonts w:hint="eastAsia" w:ascii="仿宋_GB2312" w:hAnsi="仿宋" w:eastAsia="仿宋_GB2312" w:cs="仿宋"/>
          <w:bCs/>
          <w:sz w:val="32"/>
          <w:szCs w:val="32"/>
          <w:highlight w:val="none"/>
          <w:lang w:val="en-US" w:eastAsia="zh-CN"/>
        </w:rPr>
        <w:t>7</w:t>
      </w:r>
      <w:r>
        <w:rPr>
          <w:rFonts w:hint="eastAsia" w:ascii="仿宋_GB2312" w:hAnsi="仿宋" w:eastAsia="仿宋_GB2312" w:cs="仿宋"/>
          <w:bCs/>
          <w:sz w:val="32"/>
          <w:szCs w:val="32"/>
          <w:highlight w:val="none"/>
          <w:lang w:eastAsia="zh-CN"/>
        </w:rPr>
        <w:t>日。</w:t>
      </w:r>
    </w:p>
    <w:p>
      <w:pPr>
        <w:keepNext w:val="0"/>
        <w:keepLines w:val="0"/>
        <w:pageBreakBefore w:val="0"/>
        <w:widowControl w:val="0"/>
        <w:kinsoku/>
        <w:wordWrap/>
        <w:overflowPunct/>
        <w:topLinePunct w:val="0"/>
        <w:bidi w:val="0"/>
        <w:spacing w:line="600" w:lineRule="exact"/>
        <w:ind w:firstLine="643" w:firstLineChars="200"/>
        <w:textAlignment w:val="auto"/>
        <w:outlineLvl w:val="9"/>
        <w:rPr>
          <w:rFonts w:hint="eastAsia" w:ascii="楷体_GB2312" w:eastAsia="楷体_GB2312"/>
          <w:b/>
          <w:sz w:val="32"/>
          <w:szCs w:val="20"/>
        </w:rPr>
      </w:pPr>
      <w:r>
        <w:rPr>
          <w:rFonts w:hint="eastAsia" w:ascii="楷体_GB2312" w:eastAsia="楷体_GB2312"/>
          <w:b/>
          <w:sz w:val="32"/>
          <w:szCs w:val="20"/>
          <w:lang w:val="en-US" w:eastAsia="zh-CN"/>
        </w:rPr>
        <w:t>9</w:t>
      </w:r>
      <w:r>
        <w:rPr>
          <w:rFonts w:hint="eastAsia" w:ascii="楷体_GB2312" w:eastAsia="楷体_GB2312"/>
          <w:b/>
          <w:sz w:val="32"/>
          <w:szCs w:val="20"/>
        </w:rPr>
        <w:t>.应聘人员是否可以改报其他岗位？</w:t>
      </w:r>
    </w:p>
    <w:p>
      <w:pPr>
        <w:keepNext w:val="0"/>
        <w:keepLines w:val="0"/>
        <w:pageBreakBefore w:val="0"/>
        <w:widowControl w:val="0"/>
        <w:kinsoku/>
        <w:wordWrap/>
        <w:overflowPunct/>
        <w:topLinePunct w:val="0"/>
        <w:bidi w:val="0"/>
        <w:spacing w:line="600" w:lineRule="exact"/>
        <w:ind w:firstLine="640" w:firstLineChars="200"/>
        <w:textAlignment w:val="auto"/>
        <w:outlineLvl w:val="9"/>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应聘人员通过资格审查，已报名完毕的，不得改报其他岗位。</w:t>
      </w:r>
    </w:p>
    <w:p>
      <w:pPr>
        <w:keepNext w:val="0"/>
        <w:keepLines w:val="0"/>
        <w:pageBreakBefore w:val="0"/>
        <w:widowControl w:val="0"/>
        <w:kinsoku/>
        <w:wordWrap/>
        <w:overflowPunct/>
        <w:topLinePunct w:val="0"/>
        <w:bidi w:val="0"/>
        <w:spacing w:line="600" w:lineRule="exact"/>
        <w:ind w:firstLine="643" w:firstLineChars="200"/>
        <w:textAlignment w:val="auto"/>
        <w:outlineLvl w:val="9"/>
        <w:rPr>
          <w:rFonts w:hint="eastAsia" w:ascii="楷体_GB2312" w:eastAsia="楷体_GB2312"/>
          <w:b/>
          <w:sz w:val="32"/>
          <w:szCs w:val="20"/>
        </w:rPr>
      </w:pPr>
      <w:r>
        <w:rPr>
          <w:rFonts w:hint="eastAsia" w:ascii="楷体_GB2312" w:eastAsia="楷体_GB2312"/>
          <w:b/>
          <w:sz w:val="32"/>
          <w:szCs w:val="20"/>
          <w:lang w:val="en-US" w:eastAsia="zh-CN"/>
        </w:rPr>
        <w:t>10</w:t>
      </w:r>
      <w:r>
        <w:rPr>
          <w:rFonts w:hint="eastAsia" w:ascii="楷体_GB2312" w:eastAsia="楷体_GB2312"/>
          <w:b/>
          <w:sz w:val="32"/>
          <w:szCs w:val="20"/>
        </w:rPr>
        <w:t>.填报相关表格、信息时需注意什么？</w:t>
      </w:r>
    </w:p>
    <w:p>
      <w:pPr>
        <w:keepNext w:val="0"/>
        <w:keepLines w:val="0"/>
        <w:pageBreakBefore w:val="0"/>
        <w:widowControl w:val="0"/>
        <w:kinsoku/>
        <w:wordWrap/>
        <w:overflowPunct/>
        <w:topLinePunct w:val="0"/>
        <w:bidi w:val="0"/>
        <w:spacing w:line="600" w:lineRule="exact"/>
        <w:ind w:firstLine="640" w:firstLineChars="200"/>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应聘人员要仔细阅读《简章》及本须知内容，填报的相关表格、信息等必须真实、全面、准确。主要信息填报不实的，按弄虚作假处理；因信息填报不全、错误等导致未通过资格初审的，责任由应聘人员自负。</w:t>
      </w:r>
    </w:p>
    <w:p>
      <w:pPr>
        <w:keepNext w:val="0"/>
        <w:keepLines w:val="0"/>
        <w:pageBreakBefore w:val="0"/>
        <w:widowControl w:val="0"/>
        <w:kinsoku/>
        <w:wordWrap/>
        <w:overflowPunct/>
        <w:topLinePunct w:val="0"/>
        <w:bidi w:val="0"/>
        <w:spacing w:line="600" w:lineRule="exact"/>
        <w:ind w:firstLine="643" w:firstLineChars="200"/>
        <w:textAlignment w:val="auto"/>
        <w:outlineLvl w:val="9"/>
        <w:rPr>
          <w:rFonts w:hint="eastAsia" w:ascii="楷体_GB2312" w:eastAsia="楷体_GB2312"/>
          <w:b/>
          <w:sz w:val="32"/>
          <w:szCs w:val="20"/>
          <w:lang w:eastAsia="zh-CN"/>
        </w:rPr>
      </w:pPr>
      <w:r>
        <w:rPr>
          <w:rFonts w:hint="eastAsia" w:ascii="楷体_GB2312" w:eastAsia="楷体_GB2312"/>
          <w:b/>
          <w:sz w:val="32"/>
          <w:szCs w:val="20"/>
          <w:lang w:val="en-US" w:eastAsia="zh-CN"/>
        </w:rPr>
        <w:t>11.</w:t>
      </w:r>
      <w:r>
        <w:rPr>
          <w:rFonts w:hint="eastAsia" w:ascii="楷体_GB2312" w:eastAsia="楷体_GB2312"/>
          <w:b/>
          <w:sz w:val="32"/>
          <w:szCs w:val="20"/>
        </w:rPr>
        <w:t>应聘人员</w:t>
      </w:r>
      <w:r>
        <w:rPr>
          <w:rFonts w:hint="eastAsia" w:ascii="楷体_GB2312" w:eastAsia="楷体_GB2312"/>
          <w:b/>
          <w:sz w:val="32"/>
          <w:szCs w:val="20"/>
          <w:lang w:eastAsia="zh-CN"/>
        </w:rPr>
        <w:t>的报名材料提交时间如何规定？</w:t>
      </w:r>
    </w:p>
    <w:p>
      <w:pPr>
        <w:keepNext w:val="0"/>
        <w:keepLines w:val="0"/>
        <w:pageBreakBefore w:val="0"/>
        <w:widowControl w:val="0"/>
        <w:kinsoku/>
        <w:wordWrap/>
        <w:overflowPunct/>
        <w:topLinePunct w:val="0"/>
        <w:bidi w:val="0"/>
        <w:spacing w:line="600" w:lineRule="exact"/>
        <w:ind w:firstLine="640" w:firstLineChars="200"/>
        <w:textAlignment w:val="auto"/>
        <w:outlineLvl w:val="9"/>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应聘人员的报名材料必须于2019年12月9日下午17:30之前提交，逾期不提交视为自动放弃报名资格。</w:t>
      </w:r>
    </w:p>
    <w:p>
      <w:pPr>
        <w:keepNext w:val="0"/>
        <w:keepLines w:val="0"/>
        <w:pageBreakBefore w:val="0"/>
        <w:widowControl w:val="0"/>
        <w:numPr>
          <w:ilvl w:val="0"/>
          <w:numId w:val="0"/>
        </w:numPr>
        <w:kinsoku/>
        <w:wordWrap/>
        <w:overflowPunct/>
        <w:topLinePunct w:val="0"/>
        <w:bidi w:val="0"/>
        <w:spacing w:line="600" w:lineRule="exact"/>
        <w:ind w:firstLine="643" w:firstLineChars="200"/>
        <w:textAlignment w:val="auto"/>
        <w:outlineLvl w:val="9"/>
        <w:rPr>
          <w:rFonts w:hint="eastAsia" w:ascii="楷体_GB2312" w:eastAsia="楷体_GB2312"/>
          <w:b/>
          <w:color w:val="auto"/>
          <w:sz w:val="32"/>
          <w:szCs w:val="20"/>
          <w:lang w:eastAsia="zh-CN"/>
        </w:rPr>
      </w:pPr>
      <w:r>
        <w:rPr>
          <w:rFonts w:hint="eastAsia" w:ascii="楷体_GB2312" w:eastAsia="楷体_GB2312"/>
          <w:b/>
          <w:color w:val="auto"/>
          <w:sz w:val="32"/>
          <w:szCs w:val="20"/>
          <w:lang w:val="en-US" w:eastAsia="zh-CN"/>
        </w:rPr>
        <w:t>12.</w:t>
      </w:r>
      <w:r>
        <w:rPr>
          <w:rFonts w:hint="eastAsia" w:ascii="楷体_GB2312" w:eastAsia="楷体_GB2312"/>
          <w:b/>
          <w:color w:val="auto"/>
          <w:sz w:val="32"/>
          <w:szCs w:val="20"/>
          <w:lang w:eastAsia="zh-CN"/>
        </w:rPr>
        <w:t>每天报名情况如何查询？</w:t>
      </w:r>
    </w:p>
    <w:p>
      <w:pPr>
        <w:keepNext w:val="0"/>
        <w:keepLines w:val="0"/>
        <w:pageBreakBefore w:val="0"/>
        <w:widowControl w:val="0"/>
        <w:kinsoku/>
        <w:wordWrap/>
        <w:overflowPunct/>
        <w:topLinePunct w:val="0"/>
        <w:bidi w:val="0"/>
        <w:spacing w:line="600" w:lineRule="exact"/>
        <w:ind w:firstLine="640" w:firstLineChars="200"/>
        <w:textAlignment w:val="auto"/>
        <w:outlineLvl w:val="9"/>
        <w:rPr>
          <w:rFonts w:hint="eastAsia" w:ascii="仿宋_GB2312" w:hAnsi="仿宋" w:eastAsia="仿宋_GB2312" w:cs="仿宋"/>
          <w:color w:val="FF0000"/>
          <w:sz w:val="32"/>
          <w:szCs w:val="32"/>
          <w:lang w:val="en-US" w:eastAsia="zh-CN"/>
        </w:rPr>
      </w:pPr>
      <w:r>
        <w:rPr>
          <w:rFonts w:hint="eastAsia" w:ascii="仿宋_GB2312" w:hAnsi="仿宋" w:eastAsia="仿宋_GB2312" w:cs="仿宋"/>
          <w:color w:val="auto"/>
          <w:sz w:val="32"/>
          <w:szCs w:val="32"/>
          <w:lang w:val="en-US" w:eastAsia="zh-CN"/>
        </w:rPr>
        <w:t>每天报名情况在东昌府区人民政府网站公布</w:t>
      </w:r>
      <w:r>
        <w:rPr>
          <w:rFonts w:hint="eastAsia" w:ascii="仿宋_GB2312" w:hAnsi="仿宋" w:eastAsia="仿宋_GB2312" w:cs="仿宋"/>
          <w:color w:val="FF0000"/>
          <w:sz w:val="32"/>
          <w:szCs w:val="32"/>
          <w:lang w:val="en-US" w:eastAsia="zh-CN"/>
        </w:rPr>
        <w:t>。</w:t>
      </w:r>
    </w:p>
    <w:p>
      <w:pPr>
        <w:keepNext w:val="0"/>
        <w:keepLines w:val="0"/>
        <w:pageBreakBefore w:val="0"/>
        <w:widowControl w:val="0"/>
        <w:kinsoku/>
        <w:wordWrap/>
        <w:overflowPunct/>
        <w:topLinePunct w:val="0"/>
        <w:bidi w:val="0"/>
        <w:spacing w:line="600" w:lineRule="exact"/>
        <w:ind w:firstLine="643" w:firstLineChars="200"/>
        <w:textAlignment w:val="auto"/>
        <w:outlineLvl w:val="9"/>
        <w:rPr>
          <w:rFonts w:ascii="楷体_GB2312" w:eastAsia="楷体_GB2312"/>
          <w:b/>
          <w:sz w:val="32"/>
          <w:szCs w:val="20"/>
        </w:rPr>
      </w:pPr>
      <w:r>
        <w:rPr>
          <w:rFonts w:hint="eastAsia" w:ascii="楷体_GB2312" w:eastAsia="楷体_GB2312"/>
          <w:b/>
          <w:sz w:val="32"/>
          <w:szCs w:val="20"/>
          <w:lang w:val="en-US" w:eastAsia="zh-CN"/>
        </w:rPr>
        <w:t>13.</w:t>
      </w:r>
      <w:r>
        <w:rPr>
          <w:rFonts w:hint="eastAsia" w:ascii="楷体_GB2312" w:eastAsia="楷体_GB2312"/>
          <w:b/>
          <w:sz w:val="32"/>
          <w:szCs w:val="20"/>
        </w:rPr>
        <w:t>违纪违规及存在不诚信情形的应聘人员如何处理？</w:t>
      </w:r>
    </w:p>
    <w:p>
      <w:pPr>
        <w:keepNext w:val="0"/>
        <w:keepLines w:val="0"/>
        <w:pageBreakBefore w:val="0"/>
        <w:widowControl w:val="0"/>
        <w:kinsoku/>
        <w:wordWrap/>
        <w:overflowPunct/>
        <w:topLinePunct w:val="0"/>
        <w:bidi w:val="0"/>
        <w:snapToGrid w:val="0"/>
        <w:spacing w:line="60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应聘人员要严格遵守公开招聘的相关政策规定，遵从事业单位公开招聘主管机关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招聘</w:t>
      </w:r>
      <w:r>
        <w:rPr>
          <w:rFonts w:hint="eastAsia" w:ascii="仿宋_GB2312" w:hAnsi="仿宋_GB2312" w:eastAsia="仿宋_GB2312" w:cs="仿宋_GB2312"/>
          <w:sz w:val="32"/>
          <w:szCs w:val="32"/>
          <w:lang w:eastAsia="zh-CN"/>
        </w:rPr>
        <w:t>主管部门</w:t>
      </w:r>
      <w:r>
        <w:rPr>
          <w:rFonts w:hint="eastAsia" w:ascii="仿宋_GB2312" w:hAnsi="仿宋_GB2312" w:eastAsia="仿宋_GB2312" w:cs="仿宋_GB2312"/>
          <w:sz w:val="32"/>
          <w:szCs w:val="32"/>
        </w:rPr>
        <w:t>的统一安排，其在应聘期间的表现将作为公开招聘考察的重要内容之一。对违纪违规的应聘人员，按照《事业单位公开招聘违纪违规行为处理规定》（中华人民共和国人力资源和社会保障部令第35号）处理。对招聘工作中存在不诚信情形的应聘人员，将纳入事业单位公开招聘违纪违规与诚信档案库。</w:t>
      </w:r>
    </w:p>
    <w:p>
      <w:pPr>
        <w:keepNext w:val="0"/>
        <w:keepLines w:val="0"/>
        <w:pageBreakBefore w:val="0"/>
        <w:widowControl w:val="0"/>
        <w:kinsoku/>
        <w:wordWrap/>
        <w:overflowPunct/>
        <w:topLinePunct w:val="0"/>
        <w:bidi w:val="0"/>
        <w:spacing w:line="600" w:lineRule="exact"/>
        <w:ind w:firstLine="643" w:firstLineChars="200"/>
        <w:textAlignment w:val="auto"/>
        <w:outlineLvl w:val="9"/>
        <w:rPr>
          <w:rFonts w:ascii="楷体_GB2312" w:eastAsia="楷体_GB2312"/>
          <w:b/>
          <w:sz w:val="32"/>
          <w:szCs w:val="20"/>
        </w:rPr>
      </w:pPr>
      <w:r>
        <w:rPr>
          <w:rFonts w:hint="eastAsia" w:ascii="楷体_GB2312" w:eastAsia="楷体_GB2312"/>
          <w:b/>
          <w:sz w:val="32"/>
          <w:szCs w:val="20"/>
        </w:rPr>
        <w:t>1</w:t>
      </w:r>
      <w:r>
        <w:rPr>
          <w:rFonts w:hint="eastAsia" w:ascii="楷体_GB2312" w:eastAsia="楷体_GB2312"/>
          <w:b/>
          <w:sz w:val="32"/>
          <w:szCs w:val="20"/>
          <w:lang w:val="en-US" w:eastAsia="zh-CN"/>
        </w:rPr>
        <w:t>4</w:t>
      </w:r>
      <w:r>
        <w:rPr>
          <w:rFonts w:hint="eastAsia" w:ascii="楷体_GB2312" w:eastAsia="楷体_GB2312"/>
          <w:b/>
          <w:sz w:val="32"/>
          <w:szCs w:val="20"/>
        </w:rPr>
        <w:t>.拟聘用人员名单公示后提出放弃的如何处理？</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对公示后无故放弃聘用资格的应聘人员，由区事业单位公开招聘主管机关记入东昌府区事业单位公开招聘违纪违规与诚信档案库。</w:t>
      </w:r>
    </w:p>
    <w:p>
      <w:pPr>
        <w:keepNext w:val="0"/>
        <w:keepLines w:val="0"/>
        <w:pageBreakBefore w:val="0"/>
        <w:widowControl w:val="0"/>
        <w:numPr>
          <w:ilvl w:val="0"/>
          <w:numId w:val="0"/>
        </w:numPr>
        <w:kinsoku/>
        <w:wordWrap/>
        <w:overflowPunct/>
        <w:topLinePunct w:val="0"/>
        <w:bidi w:val="0"/>
        <w:spacing w:line="600" w:lineRule="exact"/>
        <w:ind w:firstLine="643" w:firstLineChars="200"/>
        <w:textAlignment w:val="auto"/>
        <w:outlineLvl w:val="9"/>
        <w:rPr>
          <w:rFonts w:hint="eastAsia" w:ascii="楷体_GB2312" w:eastAsia="楷体_GB2312"/>
          <w:b/>
          <w:sz w:val="32"/>
          <w:szCs w:val="20"/>
          <w:lang w:eastAsia="zh-CN"/>
        </w:rPr>
      </w:pPr>
      <w:r>
        <w:rPr>
          <w:rFonts w:hint="eastAsia" w:ascii="楷体_GB2312" w:eastAsia="楷体_GB2312"/>
          <w:b/>
          <w:sz w:val="32"/>
          <w:szCs w:val="20"/>
          <w:lang w:val="en-US" w:eastAsia="zh-CN"/>
        </w:rPr>
        <w:t>15.</w:t>
      </w:r>
      <w:r>
        <w:rPr>
          <w:rFonts w:hint="eastAsia" w:ascii="楷体_GB2312" w:eastAsia="楷体_GB2312"/>
          <w:b/>
          <w:sz w:val="32"/>
          <w:szCs w:val="20"/>
          <w:lang w:eastAsia="zh-CN"/>
        </w:rPr>
        <w:t>考察赋分办法</w:t>
      </w:r>
    </w:p>
    <w:p>
      <w:pPr>
        <w:keepNext w:val="0"/>
        <w:keepLines w:val="0"/>
        <w:pageBreakBefore w:val="0"/>
        <w:widowControl w:val="0"/>
        <w:kinsoku/>
        <w:wordWrap/>
        <w:overflowPunct/>
        <w:topLinePunct w:val="0"/>
        <w:bidi w:val="0"/>
        <w:snapToGrid w:val="0"/>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满分20分，包括学历3分、年度考核6分、班主任及其他管理工作6分，荣誉称号5分。</w:t>
      </w:r>
    </w:p>
    <w:p>
      <w:pPr>
        <w:keepNext w:val="0"/>
        <w:keepLines w:val="0"/>
        <w:pageBreakBefore w:val="0"/>
        <w:widowControl w:val="0"/>
        <w:kinsoku/>
        <w:wordWrap/>
        <w:overflowPunct/>
        <w:topLinePunct w:val="0"/>
        <w:bidi w:val="0"/>
        <w:snapToGrid w:val="0"/>
        <w:spacing w:line="60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(1)学历（最高3分）</w:t>
      </w:r>
    </w:p>
    <w:p>
      <w:pPr>
        <w:keepNext w:val="0"/>
        <w:keepLines w:val="0"/>
        <w:pageBreakBefore w:val="0"/>
        <w:widowControl w:val="0"/>
        <w:kinsoku/>
        <w:wordWrap/>
        <w:overflowPunct/>
        <w:topLinePunct w:val="0"/>
        <w:bidi w:val="0"/>
        <w:snapToGrid w:val="0"/>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小学：全日制普通高等学校师范专业专科、全日制普通高等学校非师范专业专科且取得国家承认的本科学历、全日制普通高等学校非师范专业本科，计1分；全日制普通高等学校师范专业本科计2分；硕士研究生计3分；</w:t>
      </w:r>
    </w:p>
    <w:p>
      <w:pPr>
        <w:keepNext w:val="0"/>
        <w:keepLines w:val="0"/>
        <w:pageBreakBefore w:val="0"/>
        <w:widowControl w:val="0"/>
        <w:kinsoku/>
        <w:wordWrap/>
        <w:overflowPunct/>
        <w:topLinePunct w:val="0"/>
        <w:bidi w:val="0"/>
        <w:snapToGrid w:val="0"/>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②初中和高中：全日制普通高等学校非师范专业本科计1分；全日制师普通高等学校范专业本科计2分；硕士研究生计3分。</w:t>
      </w:r>
    </w:p>
    <w:p>
      <w:pPr>
        <w:keepNext w:val="0"/>
        <w:keepLines w:val="0"/>
        <w:pageBreakBefore w:val="0"/>
        <w:widowControl w:val="0"/>
        <w:kinsoku/>
        <w:wordWrap/>
        <w:overflowPunct/>
        <w:topLinePunct w:val="0"/>
        <w:bidi w:val="0"/>
        <w:snapToGrid w:val="0"/>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年度考核（</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分）</w:t>
      </w:r>
    </w:p>
    <w:p>
      <w:pPr>
        <w:keepNext w:val="0"/>
        <w:keepLines w:val="0"/>
        <w:pageBreakBefore w:val="0"/>
        <w:widowControl w:val="0"/>
        <w:kinsoku/>
        <w:wordWrap/>
        <w:overflowPunct/>
        <w:topLinePunct w:val="0"/>
        <w:bidi w:val="0"/>
        <w:snapToGrid w:val="0"/>
        <w:spacing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近三年</w:t>
      </w:r>
      <w:r>
        <w:rPr>
          <w:rFonts w:hint="eastAsia" w:ascii="仿宋_GB2312" w:hAnsi="仿宋_GB2312" w:eastAsia="仿宋_GB2312" w:cs="仿宋_GB2312"/>
          <w:color w:val="auto"/>
          <w:sz w:val="32"/>
          <w:szCs w:val="32"/>
        </w:rPr>
        <w:t>年度考核</w:t>
      </w:r>
      <w:r>
        <w:rPr>
          <w:rFonts w:hint="eastAsia" w:ascii="仿宋_GB2312" w:hAnsi="仿宋_GB2312" w:eastAsia="仿宋_GB2312" w:cs="仿宋_GB2312"/>
          <w:color w:val="auto"/>
          <w:sz w:val="32"/>
          <w:szCs w:val="32"/>
          <w:lang w:eastAsia="zh-CN"/>
        </w:rPr>
        <w:t>等次均为合格或以上，每合格</w:t>
      </w:r>
      <w:r>
        <w:rPr>
          <w:rFonts w:hint="eastAsia" w:ascii="仿宋_GB2312" w:hAnsi="仿宋_GB2312" w:eastAsia="仿宋_GB2312" w:cs="仿宋_GB2312"/>
          <w:color w:val="auto"/>
          <w:sz w:val="32"/>
          <w:szCs w:val="32"/>
          <w:lang w:val="en-US" w:eastAsia="zh-CN"/>
        </w:rPr>
        <w:t>1次计1</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eastAsia="zh-CN"/>
        </w:rPr>
        <w:t>优秀</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次计</w:t>
      </w:r>
      <w:r>
        <w:rPr>
          <w:rFonts w:hint="eastAsia" w:ascii="仿宋_GB2312" w:hAnsi="仿宋_GB2312" w:eastAsia="仿宋_GB2312" w:cs="仿宋_GB2312"/>
          <w:color w:val="auto"/>
          <w:sz w:val="32"/>
          <w:szCs w:val="32"/>
          <w:lang w:val="en-US" w:eastAsia="zh-CN"/>
        </w:rPr>
        <w:t>2分，</w:t>
      </w:r>
      <w:r>
        <w:rPr>
          <w:rFonts w:hint="eastAsia" w:ascii="仿宋_GB2312" w:hAnsi="仿宋_GB2312" w:eastAsia="仿宋_GB2312" w:cs="仿宋_GB2312"/>
          <w:color w:val="auto"/>
          <w:sz w:val="32"/>
          <w:szCs w:val="32"/>
          <w:lang w:eastAsia="zh-CN"/>
        </w:rPr>
        <w:t>累计</w:t>
      </w:r>
      <w:r>
        <w:rPr>
          <w:rFonts w:hint="eastAsia" w:ascii="仿宋_GB2312" w:hAnsi="仿宋_GB2312" w:eastAsia="仿宋_GB2312" w:cs="仿宋_GB2312"/>
          <w:color w:val="auto"/>
          <w:sz w:val="32"/>
          <w:szCs w:val="32"/>
        </w:rPr>
        <w:t>最高</w:t>
      </w:r>
      <w:r>
        <w:rPr>
          <w:rFonts w:hint="eastAsia" w:ascii="仿宋_GB2312" w:hAnsi="仿宋_GB2312" w:eastAsia="仿宋_GB2312" w:cs="仿宋_GB2312"/>
          <w:color w:val="auto"/>
          <w:sz w:val="32"/>
          <w:szCs w:val="32"/>
          <w:lang w:eastAsia="zh-CN"/>
        </w:rPr>
        <w:t>计</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分。</w:t>
      </w:r>
    </w:p>
    <w:p>
      <w:pPr>
        <w:keepNext w:val="0"/>
        <w:keepLines w:val="0"/>
        <w:pageBreakBefore w:val="0"/>
        <w:widowControl w:val="0"/>
        <w:kinsoku/>
        <w:wordWrap/>
        <w:overflowPunct/>
        <w:topLinePunct w:val="0"/>
        <w:bidi w:val="0"/>
        <w:snapToGrid w:val="0"/>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须提供学校出具的年度考核情况证明及近三年年度考核表复印件（须加盖档案管理部门公章）。</w:t>
      </w:r>
    </w:p>
    <w:p>
      <w:pPr>
        <w:keepNext w:val="0"/>
        <w:keepLines w:val="0"/>
        <w:pageBreakBefore w:val="0"/>
        <w:widowControl w:val="0"/>
        <w:kinsoku/>
        <w:wordWrap/>
        <w:overflowPunct/>
        <w:topLinePunct w:val="0"/>
        <w:bidi w:val="0"/>
        <w:snapToGrid w:val="0"/>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(3)班主任及其他管理工作（最高6分）</w:t>
      </w:r>
    </w:p>
    <w:p>
      <w:pPr>
        <w:keepNext w:val="0"/>
        <w:keepLines w:val="0"/>
        <w:pageBreakBefore w:val="0"/>
        <w:widowControl w:val="0"/>
        <w:kinsoku/>
        <w:wordWrap/>
        <w:overflowPunct/>
        <w:topLinePunct w:val="0"/>
        <w:bidi w:val="0"/>
        <w:snapToGrid w:val="0"/>
        <w:spacing w:line="60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近三学年以来（2016-2017学年、2017-2018学年、2018-2019学年）任班主任或中层正职干部等管理工作的，满一学期计1分，不满一学期不计分；任副班主任或中层副职等管理工作的按以上分值的50%计分。累计最高计6分。</w:t>
      </w:r>
    </w:p>
    <w:p>
      <w:pPr>
        <w:keepNext w:val="0"/>
        <w:keepLines w:val="0"/>
        <w:pageBreakBefore w:val="0"/>
        <w:widowControl w:val="0"/>
        <w:kinsoku/>
        <w:wordWrap/>
        <w:overflowPunct/>
        <w:topLinePunct w:val="0"/>
        <w:bidi w:val="0"/>
        <w:snapToGrid w:val="0"/>
        <w:spacing w:line="60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备注：①班主任、副班主任证明材料，须经学校提供书面证明及班主任津贴发放证明材料；②中层干部等管理人员证明材料，须学校提供书面证明及任命文件或聘任手续；③以上证明材料均须校长签字并加盖公章。</w:t>
      </w:r>
    </w:p>
    <w:p>
      <w:pPr>
        <w:keepNext w:val="0"/>
        <w:keepLines w:val="0"/>
        <w:pageBreakBefore w:val="0"/>
        <w:widowControl w:val="0"/>
        <w:kinsoku/>
        <w:wordWrap/>
        <w:overflowPunct/>
        <w:topLinePunct w:val="0"/>
        <w:bidi w:val="0"/>
        <w:snapToGrid w:val="0"/>
        <w:spacing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荣誉</w:t>
      </w:r>
      <w:r>
        <w:rPr>
          <w:rFonts w:hint="eastAsia" w:ascii="仿宋_GB2312" w:hAnsi="仿宋_GB2312" w:eastAsia="仿宋_GB2312" w:cs="仿宋_GB2312"/>
          <w:color w:val="auto"/>
          <w:sz w:val="32"/>
          <w:szCs w:val="32"/>
          <w:lang w:eastAsia="zh-CN"/>
        </w:rPr>
        <w:t>称号</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最高</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分）</w:t>
      </w:r>
    </w:p>
    <w:p>
      <w:pPr>
        <w:keepNext w:val="0"/>
        <w:keepLines w:val="0"/>
        <w:pageBreakBefore w:val="0"/>
        <w:widowControl w:val="0"/>
        <w:kinsoku/>
        <w:wordWrap/>
        <w:overflowPunct/>
        <w:topLinePunct w:val="0"/>
        <w:bidi w:val="0"/>
        <w:snapToGrid w:val="0"/>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 xml:space="preserve">2016年9月至简章发布之日，由学校或教育主管部门推荐上报取得的荣誉称号，按其最高荣誉计分，不累计计分，最高计5分。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bidi w:val="0"/>
        <w:snapToGrid w:val="0"/>
        <w:spacing w:line="560" w:lineRule="exact"/>
        <w:ind w:firstLine="3534" w:firstLineChars="11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赋</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分</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标</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准</w:t>
      </w:r>
    </w:p>
    <w:tbl>
      <w:tblPr>
        <w:tblStyle w:val="6"/>
        <w:tblW w:w="9210"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1215"/>
        <w:gridCol w:w="1050"/>
        <w:gridCol w:w="990"/>
        <w:gridCol w:w="1021"/>
        <w:gridCol w:w="2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tcPr>
          <w:p>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9"/>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荣誉称号</w:t>
            </w:r>
          </w:p>
        </w:tc>
        <w:tc>
          <w:tcPr>
            <w:tcW w:w="1215" w:type="dxa"/>
          </w:tcPr>
          <w:p>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9"/>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国家级</w:t>
            </w:r>
          </w:p>
        </w:tc>
        <w:tc>
          <w:tcPr>
            <w:tcW w:w="1050" w:type="dxa"/>
          </w:tcPr>
          <w:p>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9"/>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省级</w:t>
            </w:r>
          </w:p>
        </w:tc>
        <w:tc>
          <w:tcPr>
            <w:tcW w:w="990" w:type="dxa"/>
          </w:tcPr>
          <w:p>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9"/>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市级</w:t>
            </w:r>
          </w:p>
        </w:tc>
        <w:tc>
          <w:tcPr>
            <w:tcW w:w="1021" w:type="dxa"/>
          </w:tcPr>
          <w:p>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9"/>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县级</w:t>
            </w:r>
          </w:p>
        </w:tc>
        <w:tc>
          <w:tcPr>
            <w:tcW w:w="2444" w:type="dxa"/>
          </w:tcPr>
          <w:p>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9"/>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490" w:type="dxa"/>
          </w:tcPr>
          <w:p>
            <w:pPr>
              <w:pStyle w:val="3"/>
              <w:ind w:firstLine="800" w:firstLineChars="400"/>
              <w:rPr>
                <w:rFonts w:hint="eastAsia" w:ascii="仿宋" w:hAnsi="仿宋" w:eastAsia="仿宋" w:cs="仿宋"/>
                <w:kern w:val="2"/>
                <w:sz w:val="20"/>
                <w:szCs w:val="20"/>
                <w:vertAlign w:val="baseline"/>
                <w:lang w:val="en-US" w:eastAsia="zh-CN" w:bidi="ar-SA"/>
              </w:rPr>
            </w:pPr>
            <w:r>
              <w:rPr>
                <w:rFonts w:hint="eastAsia" w:ascii="仿宋" w:hAnsi="仿宋" w:eastAsia="仿宋" w:cs="仿宋"/>
                <w:kern w:val="2"/>
                <w:sz w:val="20"/>
                <w:szCs w:val="20"/>
                <w:vertAlign w:val="baseline"/>
                <w:lang w:val="en-US" w:eastAsia="zh-CN" w:bidi="ar-SA"/>
              </w:rPr>
              <w:t>优秀教师</w:t>
            </w:r>
          </w:p>
          <w:p>
            <w:pPr>
              <w:pStyle w:val="3"/>
              <w:rPr>
                <w:rFonts w:hint="eastAsia" w:ascii="仿宋" w:hAnsi="仿宋" w:eastAsia="仿宋" w:cs="仿宋"/>
                <w:sz w:val="20"/>
                <w:szCs w:val="20"/>
                <w:vertAlign w:val="baseline"/>
                <w:lang w:eastAsia="zh-CN"/>
              </w:rPr>
            </w:pPr>
            <w:r>
              <w:rPr>
                <w:rFonts w:hint="eastAsia" w:ascii="仿宋" w:hAnsi="仿宋" w:eastAsia="仿宋" w:cs="仿宋"/>
                <w:kern w:val="2"/>
                <w:sz w:val="20"/>
                <w:szCs w:val="20"/>
                <w:vertAlign w:val="baseline"/>
                <w:lang w:val="en-US" w:eastAsia="zh-CN" w:bidi="ar-SA"/>
              </w:rPr>
              <w:t>（教育工作者、班主任）</w:t>
            </w:r>
          </w:p>
        </w:tc>
        <w:tc>
          <w:tcPr>
            <w:tcW w:w="1215" w:type="dxa"/>
          </w:tcPr>
          <w:p>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9"/>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5</w:t>
            </w:r>
          </w:p>
        </w:tc>
        <w:tc>
          <w:tcPr>
            <w:tcW w:w="1050" w:type="dxa"/>
          </w:tcPr>
          <w:p>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9"/>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4</w:t>
            </w:r>
          </w:p>
        </w:tc>
        <w:tc>
          <w:tcPr>
            <w:tcW w:w="990" w:type="dxa"/>
          </w:tcPr>
          <w:p>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9"/>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3</w:t>
            </w:r>
          </w:p>
        </w:tc>
        <w:tc>
          <w:tcPr>
            <w:tcW w:w="1021" w:type="dxa"/>
          </w:tcPr>
          <w:p>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9"/>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2</w:t>
            </w:r>
          </w:p>
        </w:tc>
        <w:tc>
          <w:tcPr>
            <w:tcW w:w="2444" w:type="dxa"/>
            <w:vAlign w:val="center"/>
          </w:tcPr>
          <w:p>
            <w:pPr>
              <w:pStyle w:val="3"/>
              <w:jc w:val="left"/>
              <w:rPr>
                <w:rFonts w:hint="eastAsia" w:ascii="仿宋" w:hAnsi="仿宋" w:eastAsia="仿宋" w:cs="仿宋"/>
                <w:sz w:val="20"/>
                <w:szCs w:val="20"/>
                <w:vertAlign w:val="baseline"/>
                <w:lang w:eastAsia="zh-CN"/>
              </w:rPr>
            </w:pPr>
            <w:r>
              <w:rPr>
                <w:rFonts w:hint="eastAsia" w:ascii="仿宋" w:hAnsi="仿宋" w:eastAsia="仿宋" w:cs="仿宋"/>
                <w:kern w:val="2"/>
                <w:sz w:val="20"/>
                <w:szCs w:val="20"/>
                <w:vertAlign w:val="baseline"/>
                <w:lang w:val="en-US" w:eastAsia="zh-CN" w:bidi="ar-SA"/>
              </w:rPr>
              <w:t>由党委、政府或教育、人社部门联合颁发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490" w:type="dxa"/>
          </w:tcPr>
          <w:p>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9"/>
              <w:rPr>
                <w:rFonts w:hint="eastAsia" w:ascii="仿宋" w:hAnsi="仿宋" w:eastAsia="仿宋" w:cs="仿宋"/>
                <w:sz w:val="20"/>
                <w:szCs w:val="20"/>
                <w:vertAlign w:val="baseline"/>
                <w:lang w:eastAsia="zh-CN"/>
              </w:rPr>
            </w:pPr>
            <w:r>
              <w:rPr>
                <w:rFonts w:hint="eastAsia" w:ascii="仿宋" w:hAnsi="仿宋" w:eastAsia="仿宋" w:cs="仿宋"/>
                <w:sz w:val="20"/>
                <w:szCs w:val="20"/>
                <w:vertAlign w:val="baseline"/>
                <w:lang w:eastAsia="zh-CN"/>
              </w:rPr>
              <w:t>名师（名校长）</w:t>
            </w:r>
          </w:p>
        </w:tc>
        <w:tc>
          <w:tcPr>
            <w:tcW w:w="1215" w:type="dxa"/>
            <w:vAlign w:val="top"/>
            <mc:AlternateContent>
              <mc:Choice Requires="wpsCustomData">
                <wpsCustomData:diagonals>
                  <wpsCustomData:diagonal from="0" to="20000">
                    <wpsCustomData:border w:val="single" w:color="auto" w:sz="4" w:space="0"/>
                  </wpsCustomData:diagonal>
                </wpsCustomData:diagonals>
              </mc:Choice>
            </mc:AlternateContent>
          </w:tcPr>
          <w:p>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mc:AlternateContent>
                <mc:Choice Requires="wpsCustomData">
                  <wpsCustomData:diagonalParaType/>
                </mc:Choice>
              </mc:AlternateContent>
              <w:rPr>
                <w:rFonts w:hint="eastAsia" w:ascii="仿宋" w:hAnsi="仿宋" w:eastAsia="仿宋" w:cs="仿宋"/>
                <w:sz w:val="20"/>
                <w:szCs w:val="20"/>
                <w:vertAlign w:val="baseline"/>
                <w:lang w:val="en-US" w:eastAsia="zh-CN"/>
              </w:rPr>
            </w:pPr>
          </w:p>
          <w:p>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9"/>
              <w:rPr>
                <w:rFonts w:hint="eastAsia" w:ascii="仿宋" w:hAnsi="仿宋" w:eastAsia="仿宋" w:cs="仿宋"/>
                <w:sz w:val="20"/>
                <w:szCs w:val="20"/>
                <w:vertAlign w:val="baseline"/>
                <w:lang w:val="en-US" w:eastAsia="zh-CN"/>
              </w:rPr>
            </w:pPr>
          </w:p>
        </w:tc>
        <w:tc>
          <w:tcPr>
            <w:tcW w:w="1050" w:type="dxa"/>
          </w:tcPr>
          <w:p>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9"/>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4</w:t>
            </w:r>
          </w:p>
        </w:tc>
        <w:tc>
          <w:tcPr>
            <w:tcW w:w="990" w:type="dxa"/>
          </w:tcPr>
          <w:p>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9"/>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3</w:t>
            </w:r>
          </w:p>
        </w:tc>
        <w:tc>
          <w:tcPr>
            <w:tcW w:w="1021" w:type="dxa"/>
          </w:tcPr>
          <w:p>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9"/>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2</w:t>
            </w:r>
          </w:p>
        </w:tc>
        <w:tc>
          <w:tcPr>
            <w:tcW w:w="2444" w:type="dxa"/>
            <w:vAlign w:val="center"/>
          </w:tcPr>
          <w:p>
            <w:pPr>
              <w:keepNext w:val="0"/>
              <w:keepLines w:val="0"/>
              <w:pageBreakBefore w:val="0"/>
              <w:kinsoku/>
              <w:wordWrap/>
              <w:overflowPunct/>
              <w:topLinePunct w:val="0"/>
              <w:autoSpaceDE/>
              <w:autoSpaceDN/>
              <w:bidi w:val="0"/>
              <w:adjustRightInd w:val="0"/>
              <w:snapToGrid w:val="0"/>
              <w:spacing w:line="600" w:lineRule="exact"/>
              <w:jc w:val="left"/>
              <w:textAlignment w:val="auto"/>
              <w:outlineLvl w:val="9"/>
              <w:rPr>
                <w:rFonts w:hint="eastAsia" w:ascii="仿宋" w:hAnsi="仿宋" w:eastAsia="仿宋" w:cs="仿宋"/>
                <w:sz w:val="20"/>
                <w:szCs w:val="20"/>
                <w:vertAlign w:val="baseline"/>
                <w:lang w:eastAsia="zh-CN"/>
              </w:rPr>
            </w:pPr>
            <w:r>
              <w:rPr>
                <w:rFonts w:hint="eastAsia" w:ascii="仿宋" w:hAnsi="仿宋" w:eastAsia="仿宋" w:cs="仿宋"/>
                <w:color w:val="auto"/>
                <w:sz w:val="20"/>
                <w:szCs w:val="20"/>
                <w:highlight w:val="none"/>
                <w:vertAlign w:val="baseline"/>
                <w:lang w:eastAsia="zh-CN"/>
              </w:rPr>
              <w:t>由政府颁发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490" w:type="dxa"/>
          </w:tcPr>
          <w:p>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9"/>
              <w:rPr>
                <w:rFonts w:hint="eastAsia" w:ascii="仿宋" w:hAnsi="仿宋" w:eastAsia="仿宋" w:cs="仿宋"/>
                <w:sz w:val="20"/>
                <w:szCs w:val="20"/>
                <w:vertAlign w:val="baseline"/>
                <w:lang w:eastAsia="zh-CN"/>
              </w:rPr>
            </w:pPr>
            <w:r>
              <w:rPr>
                <w:rFonts w:hint="eastAsia" w:ascii="仿宋" w:hAnsi="仿宋" w:eastAsia="仿宋" w:cs="仿宋"/>
                <w:sz w:val="20"/>
                <w:szCs w:val="20"/>
                <w:vertAlign w:val="baseline"/>
                <w:lang w:eastAsia="zh-CN"/>
              </w:rPr>
              <w:t>师德标兵</w:t>
            </w:r>
          </w:p>
        </w:tc>
        <w:tc>
          <w:tcPr>
            <w:tcW w:w="1215" w:type="dxa"/>
            <mc:AlternateContent>
              <mc:Choice Requires="wpsCustomData">
                <wpsCustomData:diagonals>
                  <wpsCustomData:diagonal from="0" to="20000">
                    <wpsCustomData:border w:val="single" w:color="auto" w:sz="4" w:space="0"/>
                  </wpsCustomData:diagonal>
                </wpsCustomData:diagonals>
              </mc:Choice>
            </mc:AlternateContent>
          </w:tcPr>
          <w:p>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mc:AlternateContent>
                <mc:Choice Requires="wpsCustomData">
                  <wpsCustomData:diagonalParaType/>
                </mc:Choice>
              </mc:AlternateContent>
              <w:rPr>
                <w:rFonts w:hint="eastAsia" w:ascii="仿宋" w:hAnsi="仿宋" w:eastAsia="仿宋" w:cs="仿宋"/>
                <w:sz w:val="20"/>
                <w:szCs w:val="20"/>
                <w:vertAlign w:val="baseline"/>
                <w:lang w:val="en-US" w:eastAsia="zh-CN"/>
              </w:rPr>
            </w:pPr>
          </w:p>
          <w:p>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9"/>
              <w:rPr>
                <w:rFonts w:hint="eastAsia" w:ascii="仿宋" w:hAnsi="仿宋" w:eastAsia="仿宋" w:cs="仿宋"/>
                <w:sz w:val="20"/>
                <w:szCs w:val="20"/>
                <w:vertAlign w:val="baseline"/>
                <w:lang w:val="en-US" w:eastAsia="zh-CN"/>
              </w:rPr>
            </w:pPr>
          </w:p>
        </w:tc>
        <w:tc>
          <w:tcPr>
            <w:tcW w:w="1050" w:type="dxa"/>
          </w:tcPr>
          <w:p>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9"/>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3</w:t>
            </w:r>
          </w:p>
        </w:tc>
        <w:tc>
          <w:tcPr>
            <w:tcW w:w="990" w:type="dxa"/>
          </w:tcPr>
          <w:p>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9"/>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2</w:t>
            </w:r>
          </w:p>
        </w:tc>
        <w:tc>
          <w:tcPr>
            <w:tcW w:w="1021" w:type="dxa"/>
          </w:tcPr>
          <w:p>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9"/>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1</w:t>
            </w:r>
          </w:p>
        </w:tc>
        <w:tc>
          <w:tcPr>
            <w:tcW w:w="2444" w:type="dxa"/>
            <w:vAlign w:val="center"/>
          </w:tcPr>
          <w:p>
            <w:pPr>
              <w:jc w:val="center"/>
              <w:rPr>
                <w:rFonts w:hint="eastAsia"/>
                <w:sz w:val="20"/>
                <w:szCs w:val="20"/>
                <w:lang w:eastAsia="zh-CN"/>
              </w:rPr>
            </w:pPr>
            <w:r>
              <w:rPr>
                <w:rFonts w:hint="eastAsia" w:ascii="仿宋" w:hAnsi="仿宋" w:eastAsia="仿宋" w:cs="仿宋"/>
                <w:kern w:val="2"/>
                <w:sz w:val="20"/>
                <w:szCs w:val="20"/>
                <w:vertAlign w:val="baseline"/>
                <w:lang w:val="en-US" w:eastAsia="zh-CN" w:bidi="ar-SA"/>
              </w:rPr>
              <w:t>由各级教育主管部门颁发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490" w:type="dxa"/>
          </w:tcPr>
          <w:p>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9"/>
              <w:rPr>
                <w:rFonts w:hint="eastAsia" w:ascii="仿宋" w:hAnsi="仿宋" w:eastAsia="仿宋" w:cs="仿宋"/>
                <w:sz w:val="20"/>
                <w:szCs w:val="20"/>
                <w:vertAlign w:val="baseline"/>
                <w:lang w:eastAsia="zh-CN"/>
              </w:rPr>
            </w:pPr>
            <w:r>
              <w:rPr>
                <w:rFonts w:hint="eastAsia" w:ascii="仿宋" w:hAnsi="仿宋" w:eastAsia="仿宋" w:cs="仿宋"/>
                <w:sz w:val="20"/>
                <w:szCs w:val="20"/>
                <w:vertAlign w:val="baseline"/>
                <w:lang w:eastAsia="zh-CN"/>
              </w:rPr>
              <w:t>教学能手</w:t>
            </w:r>
          </w:p>
        </w:tc>
        <w:tc>
          <w:tcPr>
            <w:tcW w:w="1215" w:type="dxa"/>
            <w:vAlign w:val="top"/>
            <mc:AlternateContent>
              <mc:Choice Requires="wpsCustomData">
                <wpsCustomData:diagonals>
                  <wpsCustomData:diagonal from="0" to="20000">
                    <wpsCustomData:border w:val="single" w:color="auto" w:sz="4" w:space="0"/>
                  </wpsCustomData:diagonal>
                </wpsCustomData:diagonals>
              </mc:Choice>
            </mc:AlternateContent>
          </w:tcPr>
          <w:p>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mc:AlternateContent>
                <mc:Choice Requires="wpsCustomData">
                  <wpsCustomData:diagonalParaType/>
                </mc:Choice>
              </mc:AlternateContent>
              <w:rPr>
                <w:rFonts w:hint="eastAsia" w:ascii="仿宋" w:hAnsi="仿宋" w:eastAsia="仿宋" w:cs="仿宋"/>
                <w:sz w:val="20"/>
                <w:szCs w:val="20"/>
                <w:vertAlign w:val="baseline"/>
                <w:lang w:val="en-US" w:eastAsia="zh-CN"/>
              </w:rPr>
            </w:pPr>
          </w:p>
          <w:p>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9"/>
              <w:rPr>
                <w:rFonts w:hint="eastAsia" w:ascii="仿宋" w:hAnsi="仿宋" w:eastAsia="仿宋" w:cs="仿宋"/>
                <w:sz w:val="20"/>
                <w:szCs w:val="20"/>
                <w:vertAlign w:val="baseline"/>
                <w:lang w:eastAsia="zh-CN"/>
              </w:rPr>
            </w:pPr>
          </w:p>
        </w:tc>
        <w:tc>
          <w:tcPr>
            <w:tcW w:w="1050" w:type="dxa"/>
          </w:tcPr>
          <w:p>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9"/>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3</w:t>
            </w:r>
          </w:p>
        </w:tc>
        <w:tc>
          <w:tcPr>
            <w:tcW w:w="990" w:type="dxa"/>
          </w:tcPr>
          <w:p>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9"/>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2</w:t>
            </w:r>
          </w:p>
        </w:tc>
        <w:tc>
          <w:tcPr>
            <w:tcW w:w="1021" w:type="dxa"/>
          </w:tcPr>
          <w:p>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9"/>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1</w:t>
            </w:r>
          </w:p>
        </w:tc>
        <w:tc>
          <w:tcPr>
            <w:tcW w:w="2444" w:type="dxa"/>
            <w:vAlign w:val="center"/>
          </w:tcPr>
          <w:p>
            <w:pPr>
              <w:jc w:val="center"/>
              <w:rPr>
                <w:rFonts w:hint="eastAsia" w:ascii="仿宋" w:hAnsi="仿宋" w:eastAsia="仿宋" w:cs="仿宋"/>
                <w:sz w:val="20"/>
                <w:szCs w:val="20"/>
                <w:vertAlign w:val="baseline"/>
                <w:lang w:eastAsia="zh-CN"/>
              </w:rPr>
            </w:pPr>
            <w:r>
              <w:rPr>
                <w:rFonts w:hint="eastAsia" w:ascii="仿宋" w:hAnsi="仿宋" w:eastAsia="仿宋" w:cs="仿宋"/>
                <w:sz w:val="20"/>
                <w:szCs w:val="20"/>
                <w:lang w:val="en-US" w:eastAsia="zh-CN"/>
              </w:rPr>
              <w:t>由各</w:t>
            </w:r>
            <w:bookmarkStart w:id="0" w:name="_GoBack"/>
            <w:bookmarkEnd w:id="0"/>
            <w:r>
              <w:rPr>
                <w:rFonts w:hint="eastAsia" w:ascii="仿宋" w:hAnsi="仿宋" w:eastAsia="仿宋" w:cs="仿宋"/>
                <w:sz w:val="20"/>
                <w:szCs w:val="20"/>
                <w:lang w:val="en-US" w:eastAsia="zh-CN"/>
              </w:rPr>
              <w:t>级教育主管部门评选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490" w:type="dxa"/>
          </w:tcPr>
          <w:p>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9"/>
              <w:rPr>
                <w:rFonts w:hint="eastAsia" w:ascii="仿宋" w:hAnsi="仿宋" w:eastAsia="仿宋" w:cs="仿宋"/>
                <w:sz w:val="20"/>
                <w:szCs w:val="20"/>
                <w:vertAlign w:val="baseline"/>
                <w:lang w:eastAsia="zh-CN"/>
              </w:rPr>
            </w:pPr>
            <w:r>
              <w:rPr>
                <w:rFonts w:hint="eastAsia" w:ascii="仿宋" w:hAnsi="仿宋" w:eastAsia="仿宋" w:cs="仿宋"/>
                <w:sz w:val="20"/>
                <w:szCs w:val="20"/>
                <w:vertAlign w:val="baseline"/>
                <w:lang w:eastAsia="zh-CN"/>
              </w:rPr>
              <w:t>优质课</w:t>
            </w:r>
          </w:p>
        </w:tc>
        <w:tc>
          <w:tcPr>
            <w:tcW w:w="1215" w:type="dxa"/>
            <w:vAlign w:val="top"/>
            <mc:AlternateContent>
              <mc:Choice Requires="wpsCustomData">
                <wpsCustomData:diagonals>
                  <wpsCustomData:diagonal from="0" to="20000">
                    <wpsCustomData:border w:val="single" w:color="auto" w:sz="4" w:space="0"/>
                  </wpsCustomData:diagonal>
                </wpsCustomData:diagonals>
              </mc:Choice>
            </mc:AlternateContent>
          </w:tcPr>
          <w:p>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mc:AlternateContent>
                <mc:Choice Requires="wpsCustomData">
                  <wpsCustomData:diagonalParaType/>
                </mc:Choice>
              </mc:AlternateContent>
              <w:rPr>
                <w:rFonts w:hint="eastAsia" w:ascii="仿宋" w:hAnsi="仿宋" w:eastAsia="仿宋" w:cs="仿宋"/>
                <w:sz w:val="20"/>
                <w:szCs w:val="20"/>
                <w:vertAlign w:val="baseline"/>
                <w:lang w:val="en-US" w:eastAsia="zh-CN"/>
              </w:rPr>
            </w:pPr>
          </w:p>
          <w:p>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9"/>
              <w:rPr>
                <w:rFonts w:hint="eastAsia" w:ascii="仿宋" w:hAnsi="仿宋" w:eastAsia="仿宋" w:cs="仿宋"/>
                <w:sz w:val="20"/>
                <w:szCs w:val="20"/>
                <w:vertAlign w:val="baseline"/>
                <w:lang w:eastAsia="zh-CN"/>
              </w:rPr>
            </w:pPr>
          </w:p>
        </w:tc>
        <w:tc>
          <w:tcPr>
            <w:tcW w:w="1050" w:type="dxa"/>
          </w:tcPr>
          <w:p>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9"/>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1.5</w:t>
            </w:r>
          </w:p>
        </w:tc>
        <w:tc>
          <w:tcPr>
            <w:tcW w:w="990" w:type="dxa"/>
          </w:tcPr>
          <w:p>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9"/>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1</w:t>
            </w:r>
          </w:p>
        </w:tc>
        <w:tc>
          <w:tcPr>
            <w:tcW w:w="1021" w:type="dxa"/>
          </w:tcPr>
          <w:p>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9"/>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0.5</w:t>
            </w:r>
          </w:p>
        </w:tc>
        <w:tc>
          <w:tcPr>
            <w:tcW w:w="2444" w:type="dxa"/>
            <w:vAlign w:val="center"/>
          </w:tcPr>
          <w:p>
            <w:pPr>
              <w:jc w:val="center"/>
              <w:rPr>
                <w:rFonts w:hint="eastAsia" w:ascii="仿宋" w:hAnsi="仿宋" w:eastAsia="仿宋" w:cs="仿宋"/>
                <w:sz w:val="20"/>
                <w:szCs w:val="20"/>
                <w:vertAlign w:val="baseline"/>
                <w:lang w:eastAsia="zh-CN"/>
              </w:rPr>
            </w:pPr>
            <w:r>
              <w:rPr>
                <w:rFonts w:hint="eastAsia" w:ascii="仿宋" w:hAnsi="仿宋" w:eastAsia="仿宋" w:cs="仿宋"/>
                <w:sz w:val="20"/>
                <w:szCs w:val="20"/>
                <w:lang w:val="en-US" w:eastAsia="zh-CN"/>
              </w:rPr>
              <w:t>由各级教育主管部门评选</w:t>
            </w:r>
          </w:p>
        </w:tc>
      </w:tr>
    </w:tbl>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eastAsia" w:ascii="仿宋" w:hAnsi="仿宋" w:eastAsia="仿宋" w:cs="仿宋"/>
          <w:color w:val="auto"/>
          <w:sz w:val="32"/>
          <w:szCs w:val="32"/>
          <w:lang w:eastAsia="zh-CN"/>
        </w:rPr>
      </w:pPr>
      <w:r>
        <w:rPr>
          <w:rFonts w:hint="eastAsia" w:ascii="仿宋_GB2312" w:hAnsi="仿宋_GB2312" w:eastAsia="仿宋_GB2312" w:cs="仿宋_GB2312"/>
          <w:color w:val="auto"/>
          <w:sz w:val="32"/>
          <w:szCs w:val="32"/>
          <w:lang w:val="en-US" w:eastAsia="zh-CN"/>
        </w:rPr>
        <w:t>提供材料除荣誉证书原件外，还须提供相关文件和学校证明，并由校长签字加盖公章。</w:t>
      </w:r>
    </w:p>
    <w:p>
      <w:pPr>
        <w:keepNext w:val="0"/>
        <w:keepLines w:val="0"/>
        <w:pageBreakBefore w:val="0"/>
        <w:widowControl w:val="0"/>
        <w:kinsoku/>
        <w:wordWrap/>
        <w:overflowPunct/>
        <w:topLinePunct w:val="0"/>
        <w:bidi w:val="0"/>
        <w:spacing w:line="600" w:lineRule="exact"/>
        <w:ind w:firstLine="643" w:firstLineChars="200"/>
        <w:textAlignment w:val="auto"/>
        <w:rPr>
          <w:rFonts w:ascii="楷体_GB2312" w:eastAsia="楷体_GB2312"/>
          <w:b/>
          <w:sz w:val="32"/>
          <w:szCs w:val="20"/>
        </w:rPr>
      </w:pPr>
      <w:r>
        <w:rPr>
          <w:rFonts w:hint="eastAsia" w:ascii="楷体_GB2312" w:eastAsia="楷体_GB2312"/>
          <w:b/>
          <w:sz w:val="32"/>
          <w:szCs w:val="20"/>
          <w:lang w:val="en-US" w:eastAsia="zh-CN"/>
        </w:rPr>
        <w:t>16.</w:t>
      </w:r>
      <w:r>
        <w:rPr>
          <w:rFonts w:hint="eastAsia" w:ascii="楷体_GB2312" w:eastAsia="楷体_GB2312"/>
          <w:b/>
          <w:sz w:val="32"/>
          <w:szCs w:val="20"/>
        </w:rPr>
        <w:t>其他事项</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应聘人员在报考期间应及时了解招聘网站发布的最新信息，并保持所留联系电话24小时通讯畅通，因本人原因错过重要信息而影响考试、聘用的，责任自负。</w:t>
      </w:r>
    </w:p>
    <w:p>
      <w:pPr>
        <w:autoSpaceDE w:val="0"/>
        <w:autoSpaceDN w:val="0"/>
        <w:adjustRightInd w:val="0"/>
        <w:snapToGrid w:val="0"/>
        <w:spacing w:line="540" w:lineRule="exact"/>
        <w:rPr>
          <w:rFonts w:hint="eastAsia" w:ascii="仿宋_GB2312" w:eastAsia="仿宋_GB2312"/>
          <w:sz w:val="32"/>
          <w:szCs w:val="32"/>
        </w:rPr>
      </w:pPr>
    </w:p>
    <w:p>
      <w:pPr>
        <w:pStyle w:val="10"/>
        <w:snapToGrid w:val="0"/>
        <w:spacing w:line="500" w:lineRule="exact"/>
        <w:ind w:firstLine="640" w:firstLineChars="200"/>
        <w:rPr>
          <w:rFonts w:hint="eastAsia" w:ascii="仿宋_GB2312" w:eastAsia="仿宋_GB2312"/>
          <w:color w:val="000000"/>
          <w:sz w:val="32"/>
          <w:szCs w:val="32"/>
        </w:rPr>
      </w:pPr>
      <w:r>
        <w:rPr>
          <w:rFonts w:hint="eastAsia" w:ascii="仿宋_GB2312" w:eastAsia="仿宋_GB2312"/>
          <w:sz w:val="32"/>
          <w:szCs w:val="32"/>
          <w:lang w:val="en-US" w:eastAsia="zh-CN"/>
        </w:rPr>
        <w:t xml:space="preserve">                          </w:t>
      </w:r>
      <w:r>
        <w:rPr>
          <w:rFonts w:hint="eastAsia" w:ascii="仿宋_GB2312" w:eastAsia="仿宋_GB2312"/>
          <w:color w:val="000000"/>
          <w:sz w:val="32"/>
          <w:szCs w:val="32"/>
        </w:rPr>
        <w:t>东昌府区</w:t>
      </w:r>
      <w:r>
        <w:rPr>
          <w:rFonts w:hint="eastAsia" w:ascii="仿宋_GB2312" w:eastAsia="仿宋_GB2312"/>
          <w:color w:val="000000"/>
          <w:sz w:val="32"/>
          <w:szCs w:val="32"/>
          <w:lang w:eastAsia="zh-CN"/>
        </w:rPr>
        <w:t>教育</w:t>
      </w:r>
      <w:r>
        <w:rPr>
          <w:rFonts w:hint="eastAsia" w:ascii="仿宋_GB2312" w:eastAsia="仿宋_GB2312"/>
          <w:color w:val="000000"/>
          <w:sz w:val="32"/>
          <w:szCs w:val="32"/>
        </w:rPr>
        <w:t>和</w:t>
      </w:r>
      <w:r>
        <w:rPr>
          <w:rFonts w:hint="eastAsia" w:ascii="仿宋_GB2312" w:eastAsia="仿宋_GB2312"/>
          <w:color w:val="000000"/>
          <w:sz w:val="32"/>
          <w:szCs w:val="32"/>
          <w:lang w:eastAsia="zh-CN"/>
        </w:rPr>
        <w:t>体育</w:t>
      </w:r>
      <w:r>
        <w:rPr>
          <w:rFonts w:hint="eastAsia" w:ascii="仿宋_GB2312" w:eastAsia="仿宋_GB2312"/>
          <w:color w:val="000000"/>
          <w:sz w:val="32"/>
          <w:szCs w:val="32"/>
        </w:rPr>
        <w:t>局</w:t>
      </w:r>
    </w:p>
    <w:p>
      <w:pPr>
        <w:pStyle w:val="10"/>
        <w:snapToGrid w:val="0"/>
        <w:spacing w:line="500" w:lineRule="exact"/>
        <w:ind w:firstLine="640" w:firstLineChars="200"/>
        <w:rPr>
          <w:rFonts w:hint="default" w:ascii="仿宋_GB2312" w:eastAsia="仿宋_GB2312"/>
          <w:sz w:val="32"/>
          <w:szCs w:val="32"/>
          <w:lang w:val="en-US" w:eastAsia="zh-CN"/>
        </w:rPr>
      </w:pP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2</w:t>
      </w:r>
      <w:r>
        <w:rPr>
          <w:rFonts w:hint="eastAsia" w:ascii="仿宋_GB2312" w:eastAsia="仿宋_GB2312"/>
          <w:sz w:val="32"/>
          <w:szCs w:val="32"/>
        </w:rPr>
        <w:t>01</w:t>
      </w:r>
      <w:r>
        <w:rPr>
          <w:rFonts w:hint="eastAsia" w:ascii="仿宋_GB2312" w:eastAsia="仿宋_GB2312"/>
          <w:sz w:val="32"/>
          <w:szCs w:val="32"/>
          <w:lang w:val="en-US" w:eastAsia="zh-CN"/>
        </w:rPr>
        <w:t>9</w:t>
      </w:r>
      <w:r>
        <w:rPr>
          <w:rFonts w:hint="eastAsia" w:ascii="仿宋_GB2312" w:eastAsia="仿宋_GB2312"/>
          <w:sz w:val="32"/>
          <w:szCs w:val="32"/>
        </w:rPr>
        <w:t>年</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_GB2312" w:eastAsia="仿宋_GB2312"/>
          <w:sz w:val="32"/>
          <w:szCs w:val="32"/>
          <w:lang w:val="en-US" w:eastAsia="zh-CN"/>
        </w:rPr>
        <w:t>28</w:t>
      </w:r>
      <w:r>
        <w:rPr>
          <w:rFonts w:hint="eastAsia" w:ascii="仿宋_GB2312" w:eastAsia="仿宋_GB2312"/>
          <w:sz w:val="32"/>
          <w:szCs w:val="32"/>
        </w:rPr>
        <w:t>日</w:t>
      </w:r>
    </w:p>
    <w:sectPr>
      <w:pgSz w:w="11906" w:h="16838"/>
      <w:pgMar w:top="1327" w:right="1800" w:bottom="132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B23F93"/>
    <w:rsid w:val="00F2069B"/>
    <w:rsid w:val="01955D1B"/>
    <w:rsid w:val="02094988"/>
    <w:rsid w:val="034E132F"/>
    <w:rsid w:val="03B03F93"/>
    <w:rsid w:val="0446576C"/>
    <w:rsid w:val="04C2757C"/>
    <w:rsid w:val="0680322D"/>
    <w:rsid w:val="07537403"/>
    <w:rsid w:val="08280C53"/>
    <w:rsid w:val="0838251E"/>
    <w:rsid w:val="09640565"/>
    <w:rsid w:val="0AD34D16"/>
    <w:rsid w:val="0AF128C5"/>
    <w:rsid w:val="0CC03B4B"/>
    <w:rsid w:val="0DA77F36"/>
    <w:rsid w:val="0F830D20"/>
    <w:rsid w:val="0FAB042F"/>
    <w:rsid w:val="110B7263"/>
    <w:rsid w:val="12721593"/>
    <w:rsid w:val="145C25E2"/>
    <w:rsid w:val="170F1103"/>
    <w:rsid w:val="17126BE6"/>
    <w:rsid w:val="176C396A"/>
    <w:rsid w:val="17D768B1"/>
    <w:rsid w:val="18592AC2"/>
    <w:rsid w:val="186B0346"/>
    <w:rsid w:val="197771B8"/>
    <w:rsid w:val="1AEF5E32"/>
    <w:rsid w:val="1B5928B6"/>
    <w:rsid w:val="1D1A3FBD"/>
    <w:rsid w:val="1D1D390B"/>
    <w:rsid w:val="1D3D4A12"/>
    <w:rsid w:val="1D5F47F2"/>
    <w:rsid w:val="1E092049"/>
    <w:rsid w:val="1E194E5B"/>
    <w:rsid w:val="1E717BB3"/>
    <w:rsid w:val="1EF34185"/>
    <w:rsid w:val="212526CF"/>
    <w:rsid w:val="21C23E3E"/>
    <w:rsid w:val="231E1CEE"/>
    <w:rsid w:val="2347120A"/>
    <w:rsid w:val="247A1DD0"/>
    <w:rsid w:val="24FB15C6"/>
    <w:rsid w:val="25673F3C"/>
    <w:rsid w:val="25B82AE4"/>
    <w:rsid w:val="26126D2F"/>
    <w:rsid w:val="2635321A"/>
    <w:rsid w:val="263F2882"/>
    <w:rsid w:val="27B6030C"/>
    <w:rsid w:val="27E277AD"/>
    <w:rsid w:val="27FF04DA"/>
    <w:rsid w:val="292233E6"/>
    <w:rsid w:val="2A2D6573"/>
    <w:rsid w:val="2A721AE5"/>
    <w:rsid w:val="2ACC4A90"/>
    <w:rsid w:val="2BE96212"/>
    <w:rsid w:val="2D462D45"/>
    <w:rsid w:val="2D9D05FE"/>
    <w:rsid w:val="30C65DE6"/>
    <w:rsid w:val="329A79FB"/>
    <w:rsid w:val="34950F9A"/>
    <w:rsid w:val="359D550B"/>
    <w:rsid w:val="3622430F"/>
    <w:rsid w:val="36A95F02"/>
    <w:rsid w:val="37784289"/>
    <w:rsid w:val="385B4990"/>
    <w:rsid w:val="38FF3BD6"/>
    <w:rsid w:val="39932325"/>
    <w:rsid w:val="3A207439"/>
    <w:rsid w:val="3D863FB4"/>
    <w:rsid w:val="3DB07100"/>
    <w:rsid w:val="3E2A0489"/>
    <w:rsid w:val="3E313B95"/>
    <w:rsid w:val="3EB761A2"/>
    <w:rsid w:val="3EC013B7"/>
    <w:rsid w:val="3F561D0E"/>
    <w:rsid w:val="403B167A"/>
    <w:rsid w:val="417A43BE"/>
    <w:rsid w:val="41EB386A"/>
    <w:rsid w:val="42E96AC5"/>
    <w:rsid w:val="44872071"/>
    <w:rsid w:val="45AB61E8"/>
    <w:rsid w:val="4697291B"/>
    <w:rsid w:val="471D275C"/>
    <w:rsid w:val="47990C4C"/>
    <w:rsid w:val="47F336FD"/>
    <w:rsid w:val="47F8268F"/>
    <w:rsid w:val="49050E36"/>
    <w:rsid w:val="4971674C"/>
    <w:rsid w:val="49A94B8D"/>
    <w:rsid w:val="4B4B3C86"/>
    <w:rsid w:val="4CA14540"/>
    <w:rsid w:val="4D8E4383"/>
    <w:rsid w:val="4D986AEE"/>
    <w:rsid w:val="4D9E7096"/>
    <w:rsid w:val="4F015F8D"/>
    <w:rsid w:val="4F1744E4"/>
    <w:rsid w:val="4F2526E9"/>
    <w:rsid w:val="50BA1687"/>
    <w:rsid w:val="517D26EF"/>
    <w:rsid w:val="530B60B9"/>
    <w:rsid w:val="535C6F5D"/>
    <w:rsid w:val="53CE32C3"/>
    <w:rsid w:val="542A2B56"/>
    <w:rsid w:val="54B30D94"/>
    <w:rsid w:val="551C37FD"/>
    <w:rsid w:val="553D4096"/>
    <w:rsid w:val="5573443C"/>
    <w:rsid w:val="57367177"/>
    <w:rsid w:val="57726DD3"/>
    <w:rsid w:val="59332C71"/>
    <w:rsid w:val="59EA053F"/>
    <w:rsid w:val="5A8B52D5"/>
    <w:rsid w:val="5A9F536E"/>
    <w:rsid w:val="5C855CB7"/>
    <w:rsid w:val="5CA57302"/>
    <w:rsid w:val="5CAE15F2"/>
    <w:rsid w:val="60A906E3"/>
    <w:rsid w:val="60CA3143"/>
    <w:rsid w:val="61E242A6"/>
    <w:rsid w:val="620B0C87"/>
    <w:rsid w:val="62EE17C6"/>
    <w:rsid w:val="634C06D0"/>
    <w:rsid w:val="6503226C"/>
    <w:rsid w:val="659E5B96"/>
    <w:rsid w:val="68996CB2"/>
    <w:rsid w:val="69027CC8"/>
    <w:rsid w:val="6975754B"/>
    <w:rsid w:val="6A426D3C"/>
    <w:rsid w:val="6C9309D1"/>
    <w:rsid w:val="6D015C8C"/>
    <w:rsid w:val="6D3F42D6"/>
    <w:rsid w:val="6DB04896"/>
    <w:rsid w:val="6E36151F"/>
    <w:rsid w:val="6E781BEC"/>
    <w:rsid w:val="6EBE59A3"/>
    <w:rsid w:val="6EDD19DB"/>
    <w:rsid w:val="6F76463E"/>
    <w:rsid w:val="71B34C58"/>
    <w:rsid w:val="71D3413D"/>
    <w:rsid w:val="74CC155E"/>
    <w:rsid w:val="762D18DF"/>
    <w:rsid w:val="76BF7788"/>
    <w:rsid w:val="786B576D"/>
    <w:rsid w:val="78715A68"/>
    <w:rsid w:val="79492A20"/>
    <w:rsid w:val="7AF472DA"/>
    <w:rsid w:val="7DB23F93"/>
    <w:rsid w:val="7E045BAF"/>
    <w:rsid w:val="7E697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Plain Text"/>
    <w:basedOn w:val="1"/>
    <w:qFormat/>
    <w:uiPriority w:val="0"/>
    <w:pPr>
      <w:autoSpaceDE w:val="0"/>
      <w:autoSpaceDN w:val="0"/>
      <w:adjustRightInd w:val="0"/>
    </w:pPr>
    <w:rPr>
      <w:rFonts w:ascii="宋体"/>
      <w:sz w:val="20"/>
      <w:szCs w:val="20"/>
    </w:rPr>
  </w:style>
  <w:style w:type="character" w:customStyle="1" w:styleId="9">
    <w:name w:val="页码1"/>
    <w:qFormat/>
    <w:uiPriority w:val="0"/>
    <w:rPr>
      <w:rFonts w:cs="Times New Roman"/>
    </w:rPr>
  </w:style>
  <w:style w:type="paragraph" w:customStyle="1" w:styleId="10">
    <w:name w:val="p0"/>
    <w:basedOn w:val="1"/>
    <w:qFormat/>
    <w:uiPriority w:val="0"/>
    <w:pPr>
      <w:widowControl/>
    </w:pPr>
    <w:rPr>
      <w:kern w:val="0"/>
      <w:szCs w:val="21"/>
    </w:rPr>
  </w:style>
  <w:style w:type="character" w:customStyle="1" w:styleId="11">
    <w:name w:val="page number"/>
    <w:qFormat/>
    <w:uiPriority w:val="0"/>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2019-09-20T01:54:00Z</dcterms:created>
  <dc:creator>豆芽</dc:creator>
  <cp:lastModifiedBy>豆芽</cp:lastModifiedBy>
  <cp:lastPrinted>2019-11-28T08:47:00Z</cp:lastPrinted>
  <dcterms:modified xsi:type="dcterms:W3CDTF">2019-11-28T09:12:45Z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