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60" w:lineRule="exact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附件1：</w:t>
      </w:r>
    </w:p>
    <w:p>
      <w:pPr>
        <w:spacing w:line="460" w:lineRule="exact"/>
        <w:jc w:val="center"/>
        <w:rPr>
          <w:rFonts w:hint="eastAsia" w:ascii="仿宋_GB2312" w:hAnsi="STZhongsong" w:eastAsia="仿宋_GB2312" w:cs="Times New Roman"/>
          <w:b/>
          <w:sz w:val="40"/>
          <w:szCs w:val="44"/>
        </w:rPr>
      </w:pPr>
      <w:r>
        <w:rPr>
          <w:rFonts w:hint="eastAsia" w:ascii="仿宋_GB2312" w:hAnsi="STZhongsong" w:eastAsia="仿宋_GB2312" w:cs="Times New Roman"/>
          <w:b/>
          <w:sz w:val="40"/>
          <w:szCs w:val="44"/>
        </w:rPr>
        <w:t>招聘需求信息表</w:t>
      </w:r>
    </w:p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20"/>
          <w:szCs w:val="20"/>
        </w:rPr>
        <w:t>（紧缺专业或特别优秀人才可不受所列专业、学历、人数等限制）</w:t>
      </w:r>
    </w:p>
    <w:tbl>
      <w:tblPr>
        <w:tblStyle w:val="2"/>
        <w:tblW w:w="11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660"/>
        <w:gridCol w:w="1240"/>
        <w:gridCol w:w="760"/>
        <w:gridCol w:w="2280"/>
        <w:gridCol w:w="2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临床各科室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内分泌科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内科学（内分泌与代谢病）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血液肿瘤科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内科学（血液病）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主治及以上职称或完成规培者优先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消化内科（腔镜中心）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内科学（消化系病）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熟练掌握腔镜检查治疗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内科学（神经病学）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外科学（神外）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骨科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外科学（骨外）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普外科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外科学（普外）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完成规培者优先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麻醉医学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男性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耳鼻咽喉科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耳鼻咽喉科学/中医五官科学（耳鼻咽喉）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口腔医学/口腔临床医学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紧缺专业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临床检验诊断学/医学技术（医学检验技术）/病原生物学/病理学与病理生理学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影像科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药剂科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社会医学与卫生事业管理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临床各科室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（内科、外科、妇产科、儿科、急诊科、重症医学科、精神科等）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临床医学/重症医学/急诊医学/麻醉学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口腔医学/口腔临床医学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紧缺专业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肛肠科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临床医学/中医学/中医外科学（肛肠）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女性，完成规培者优先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医学检验技术/医学检验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临床医学/医学检验/医学检验技术/病理学与病理生理学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社区卫生服务中心或社区门诊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全科医学/公共卫生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体检-超声科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女性，完成规培者优先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药剂科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院长办公室、人力资源科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卫生事业管理/人力资源管理/中文文秘类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病案室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医学信息学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会计学或财务管理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设备科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生物医学工程/医疗器械维修/电子/机械专业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120医师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具有执业资质，相关工作经历&gt;5年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社区卫生服务中心或社区门诊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临床医学或全科医学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社区卫生服务中心或社区门诊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心电超声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具有执业资质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临床护理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根据医院发展实时调整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Zhongsong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C110B"/>
    <w:rsid w:val="5D6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2019-11-28T01:49:00Z</dcterms:created>
  <dc:creator>公子风</dc:creator>
  <cp:lastModifiedBy>公子风</cp:lastModifiedBy>
  <dcterms:modified xsi:type="dcterms:W3CDTF">2019-11-28T01:50:13Z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