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 xml:space="preserve">     2019年艺术类紧缺专业人才公开招聘岗位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20"/>
        <w:gridCol w:w="1545"/>
        <w:gridCol w:w="1560"/>
        <w:gridCol w:w="1575"/>
        <w:gridCol w:w="2264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学历∕学位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center"/>
          </w:tcPr>
          <w:p>
            <w:pPr>
              <w:widowControl/>
              <w:spacing w:line="400" w:lineRule="exact"/>
              <w:ind w:firstLine="537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县文化和广电旅游体育局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县文化馆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全额拨款事业单位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全日制本科及以上学历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音乐表演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35周岁以下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hAnsi="宋体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於飞燕</cp:lastModifiedBy>
  <dcterms:modified xsi:type="dcterms:W3CDTF">2019-12-02T08:18:33Z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