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重庆市双桥经开区建设管理局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关于公开招聘数字化城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eastAsia="方正小标宋_GBK"/>
          <w:sz w:val="44"/>
          <w:szCs w:val="44"/>
        </w:rPr>
        <w:t>管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理</w:t>
      </w:r>
      <w:r>
        <w:rPr>
          <w:rFonts w:hint="eastAsia" w:ascii="方正小标宋_GBK" w:eastAsia="方正小标宋_GBK"/>
          <w:sz w:val="44"/>
          <w:szCs w:val="44"/>
        </w:rPr>
        <w:t>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工作人员的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简章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微软雅黑" w:hAnsi="微软雅黑" w:eastAsia="微软雅黑" w:cs="微软雅黑"/>
          <w:color w:val="333333"/>
          <w:sz w:val="18"/>
          <w:szCs w:val="18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为切实做好双桥经开区数字化城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中心工作人员招聘工作，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坚持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平等、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竞争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、择优的原则，确保招聘过程公平、公正、公开，特制定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本招聘简章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 xml:space="preserve"> 一、用人单位和用人方式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重庆市双桥经开区建设管理局，劳务派遣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用工合同由劳务公司签订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招聘岗位及人数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双桥经开区数字化城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中心岗位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个，共8人，具体招聘岗位(详见附件1)。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三、招录条件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具备良好的政治素质，遵纪守法、品行端正，无违规、违纪、违法行为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2.年龄为18周岁以上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35岁周岁及以下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3.具备符合职位要求的文化程度和工作能力；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4.具有正常履行职责的身体条件；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有良好的职业道德和较强的事业心、责任感，能够服从单位安排及管理；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6.五官端正、无纹身、身体健康；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7.具备拟任职位所要求的其他资格条件（详见附件1）。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、报名方式、时间及要求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本次采取现场报名的方式进行。招聘简章同时在“重庆市双桥经济技术开发区”网站首页“公示公告”栏目及双桥经开区建设局单位门口“政务公示栏”同时发布。报名人员凭《重庆市双桥经开区建设局数字化城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中心公开招聘工作人员报名表》(见附件2)及本人身份证、毕业证或学位证原件及复印件到经开区建设局206办公室报名。报名人员应对提交的材料负责，凡弄虚作假的，一经查实，取消资格。报名时间：2019年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12月13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上午9:00—下午5:30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，逾期不再受理。报考人员只能选择一个职位进行报名。（联系人：陈老师，43336011）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仿宋" w:eastAsia="方正黑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、人员招聘方式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楷体_GBK" w:hAnsi="仿宋" w:eastAsia="方正楷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K" w:hAnsi="仿宋" w:eastAsia="方正楷体_GBK" w:cs="仿宋"/>
          <w:color w:val="333333"/>
          <w:sz w:val="32"/>
          <w:szCs w:val="32"/>
          <w:shd w:val="clear" w:color="auto" w:fill="FFFFFF"/>
        </w:rPr>
        <w:t>（一）资格审查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本次招聘不设开考比例。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报名结束后对应聘人员考试资格条件进行全面审查。报考人员提交的报名信息和材料必须真实、准确、有效，否则一经发现，即取消考录资格。通过资格审查合格人员，由经开区建设局通知参加笔试。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仿宋" w:eastAsia="方正楷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K" w:hAnsi="仿宋" w:eastAsia="方正楷体_GBK" w:cs="仿宋"/>
          <w:color w:val="333333"/>
          <w:sz w:val="32"/>
          <w:szCs w:val="32"/>
          <w:shd w:val="clear" w:color="auto" w:fill="FFFFFF"/>
        </w:rPr>
        <w:t>（二）考试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采取笔试和面试相结合方式进行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1、笔试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笔试采取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实务操作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方式进行，主要测试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计算机基本操作、办公软件运用、分析汇总、应急处理及公文写作等能力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，卷面分值为100分，考试时间为90分钟，时间为2019年12月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日(星期六) 上午9：30-11：00，考试科目：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计算机实务操作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。笔试成绩在经开区建设局“政务公示栏”进行公示。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2、面试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由经开区建设局统一组织实施。主要测试报名人员的综合分析能力、逻辑思维能力、沟通交流能力等。按照同一职位笔试成绩从高分到低分的顺序按招聘人数1:3比例确定面试人员，不足规定比例的按实际人数确定，最后一名如有数名考生笔试成绩相同的，一并确定为参加面试人选。面试时间为2019年12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日(星期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上午9：30。面试满分100分。面试成绩为去掉1个最高分和1个最低分后的平均得分，成绩当场向应聘人员宣布。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面试成绩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在经开区建设局“政务公示栏”进行公示。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3、总成绩和公示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总成绩=(笔试总成绩×60%+面试成绩×40%)。如考试总成绩相同，以笔试成绩高低排序。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总成绩于2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019年12月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日(星期一)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在“重庆市双桥经济技术开发区”网站首页“公示公告”栏目及经开区建设局“政务公示栏”进行公示。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、体检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1、按照应聘人员的考试总成绩由高分到低分顺序与岗位招聘数1：1的比例确定参加体检人员。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2、体检在双桥经开区人民医院进行。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3、对体检出现缺额的，按照规定程序和时限，在同岗位应聘人员中，按考试总成绩从高分到低分依次等额递补。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、拟聘人员公示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拟录用人员，在“重庆市双桥经济技术开发区”网站首页“公示公告”栏及建设局“政务公示栏”进行3个工作日的公示。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、签订劳动合同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经公示无异议，由经开区建设局通知具体报到时间，未按规定时间报到者(特殊情况除外)，视为自动放弃，取消录用资格。产生空缺名额需递补的，按同岗位总成绩从高到低确定递补人员，经体检、考察、公示后录用。新录用员工由劳务派遣公司与其签订劳动合同（试用期一个月），通过劳务派遣方式派遣到经开区建设局工作，并进行岗前培训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方正黑体_GBK" w:hAnsi="仿宋" w:eastAsia="方正黑体_GBK" w:cs="仿宋"/>
          <w:color w:val="333333"/>
          <w:sz w:val="32"/>
          <w:szCs w:val="32"/>
          <w:shd w:val="clear" w:color="auto" w:fill="FFFFFF"/>
        </w:rPr>
        <w:t>、薪酬待遇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按照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经开区党工委2019年第20次委员会议纪要和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《大足区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进一步规范临时聘用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人员管理实施方案》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相关规定执行。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1、双桥经开区建设管理局数字化城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中心拟招聘职位情况一览表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40" w:leftChars="-257" w:firstLine="1120" w:firstLineChars="35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2、双桥经开区建设管理局数字化城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中心招聘人员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35" w:leftChars="1350" w:hanging="800" w:hangingChars="25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重庆市双桥经开区建设管理局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2019年12月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br w:type="page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40" w:leftChars="-257"/>
        <w:jc w:val="center"/>
        <w:textAlignment w:val="auto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双桥经开区建设管理局数字化城</w:t>
      </w:r>
      <w:r>
        <w:rPr>
          <w:rFonts w:hint="eastAsia" w:ascii="方正小标宋_GBK" w:hAnsi="方正仿宋_GBK" w:eastAsia="方正小标宋_GBK" w:cs="方正仿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管</w:t>
      </w:r>
      <w:r>
        <w:rPr>
          <w:rFonts w:hint="eastAsia" w:ascii="方正小标宋_GBK" w:hAnsi="方正仿宋_GBK" w:eastAsia="方正小标宋_GBK" w:cs="方正仿宋_GBK"/>
          <w:sz w:val="44"/>
          <w:szCs w:val="44"/>
          <w:lang w:val="en-US" w:eastAsia="zh-CN"/>
        </w:rPr>
        <w:t>理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中心拟招聘职位情况一览表</w:t>
      </w:r>
    </w:p>
    <w:tbl>
      <w:tblPr>
        <w:tblStyle w:val="4"/>
        <w:tblW w:w="151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800"/>
        <w:gridCol w:w="1620"/>
        <w:gridCol w:w="2340"/>
        <w:gridCol w:w="54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职位名称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招录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指标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专业要求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年龄要求</w:t>
            </w:r>
          </w:p>
        </w:tc>
        <w:tc>
          <w:tcPr>
            <w:tcW w:w="54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其他要求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" w:firstLineChars="5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方正仿宋_GBK"/>
                <w:szCs w:val="21"/>
              </w:rPr>
              <w:t>综合</w:t>
            </w: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方正仿宋_GBK"/>
                <w:color w:val="000000"/>
                <w:szCs w:val="21"/>
              </w:rPr>
              <w:t>人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全日制大专及以上学历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不限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方正仿宋_GBK"/>
                <w:szCs w:val="21"/>
              </w:rPr>
              <w:t>岁及以下</w:t>
            </w:r>
          </w:p>
        </w:tc>
        <w:tc>
          <w:tcPr>
            <w:tcW w:w="54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能较熟练掌握计算机操作系统；有办公室工作经验者优先。</w:t>
            </w:r>
          </w:p>
        </w:tc>
        <w:tc>
          <w:tcPr>
            <w:tcW w:w="90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Cs w:val="21"/>
              </w:rPr>
              <w:t>技术维护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方正仿宋_GBK"/>
                <w:color w:val="000000"/>
                <w:szCs w:val="21"/>
              </w:rPr>
              <w:t>人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Cs w:val="21"/>
              </w:rPr>
              <w:t>全日制大专及以上学历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具有计算机相关专业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方正仿宋_GBK"/>
                <w:szCs w:val="21"/>
              </w:rPr>
              <w:t>岁及以下</w:t>
            </w:r>
          </w:p>
        </w:tc>
        <w:tc>
          <w:tcPr>
            <w:tcW w:w="54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能够处理机房服务器、网络、终端等设备的日常处理及维护。有计算机相关方面1年以上工作经验者优先。</w:t>
            </w:r>
          </w:p>
        </w:tc>
        <w:tc>
          <w:tcPr>
            <w:tcW w:w="90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受理监督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color w:val="000000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方正仿宋_GBK"/>
                <w:color w:val="000000"/>
                <w:szCs w:val="21"/>
              </w:rPr>
              <w:t>人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全日制大专及以上学历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 w:val="24"/>
              </w:rPr>
              <w:t>不限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方正仿宋_GBK"/>
                <w:szCs w:val="21"/>
              </w:rPr>
              <w:t>岁及以下</w:t>
            </w:r>
          </w:p>
        </w:tc>
        <w:tc>
          <w:tcPr>
            <w:tcW w:w="54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能较熟练掌握计算机操作系统。</w:t>
            </w:r>
          </w:p>
        </w:tc>
        <w:tc>
          <w:tcPr>
            <w:tcW w:w="90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合计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8人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540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  <w:tc>
          <w:tcPr>
            <w:tcW w:w="90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附件2：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9" w:leftChars="-257"/>
        <w:jc w:val="center"/>
        <w:textAlignment w:val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双桥经开区建设局数字化城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管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  <w:t>理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中心招聘人员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名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表</w:t>
      </w:r>
    </w:p>
    <w:tbl>
      <w:tblPr>
        <w:tblStyle w:val="3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87"/>
        <w:gridCol w:w="230"/>
        <w:gridCol w:w="7"/>
        <w:gridCol w:w="172"/>
        <w:gridCol w:w="1209"/>
        <w:gridCol w:w="191"/>
        <w:gridCol w:w="581"/>
        <w:gridCol w:w="720"/>
        <w:gridCol w:w="825"/>
        <w:gridCol w:w="1405"/>
        <w:gridCol w:w="13"/>
        <w:gridCol w:w="361"/>
        <w:gridCol w:w="815"/>
        <w:gridCol w:w="2086"/>
        <w:gridCol w:w="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5" w:hRule="exac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基本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情况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姓</w:t>
            </w:r>
            <w:r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性</w:t>
            </w:r>
            <w:r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别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cs="宋体"/>
                <w:b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z w:val="21"/>
                <w:szCs w:val="21"/>
              </w:rPr>
              <w:t>（个人照片）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35" w:firstLineChars="3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身份证号码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民</w:t>
            </w:r>
            <w:r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族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户口所在地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籍</w:t>
            </w:r>
            <w:r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贯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婚姻状况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家庭地址</w:t>
            </w:r>
          </w:p>
        </w:tc>
        <w:tc>
          <w:tcPr>
            <w:tcW w:w="472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712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全日制教育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毕业院校及专业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706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在职教育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毕业院校及专业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参加工作时间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专业技术职称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特</w:t>
            </w:r>
            <w:r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长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薪酬要求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67" w:hRule="exac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/>
                <w:b w:val="0"/>
                <w:sz w:val="21"/>
                <w:szCs w:val="21"/>
              </w:rPr>
            </w:pPr>
          </w:p>
        </w:tc>
        <w:tc>
          <w:tcPr>
            <w:tcW w:w="180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拟聘岗位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是否同意调配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44" w:hRule="exac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历</w:t>
            </w:r>
          </w:p>
        </w:tc>
        <w:tc>
          <w:tcPr>
            <w:tcW w:w="8615" w:type="dxa"/>
            <w:gridSpan w:val="1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奖惩情况</w:t>
            </w:r>
          </w:p>
        </w:tc>
        <w:tc>
          <w:tcPr>
            <w:tcW w:w="8534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价</w:t>
            </w:r>
          </w:p>
        </w:tc>
        <w:tc>
          <w:tcPr>
            <w:tcW w:w="8534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家庭主要成员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关系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姓名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年龄</w:t>
            </w: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textAlignment w:val="auto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exact"/>
          <w:jc w:val="center"/>
        </w:trPr>
        <w:tc>
          <w:tcPr>
            <w:tcW w:w="12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声明</w:t>
            </w:r>
          </w:p>
        </w:tc>
        <w:tc>
          <w:tcPr>
            <w:tcW w:w="8541" w:type="dxa"/>
            <w:gridSpan w:val="1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480" w:firstLineChars="200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>以上填写内容完全属实,否则，本人愿意承担由此引发的一切后果与责任。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                                              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textAlignment w:val="auto"/>
              <w:rPr>
                <w:rFonts w:ascii="宋体" w:hAnsi="宋体" w:eastAsia="宋体"/>
                <w:b w:val="0"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18"/>
              </w:rPr>
              <w:t xml:space="preserve">                 </w:t>
            </w:r>
            <w:r>
              <w:rPr>
                <w:rFonts w:hint="eastAsia" w:ascii="宋体" w:hAnsi="宋体"/>
                <w:bCs w:val="0"/>
                <w:szCs w:val="21"/>
              </w:rPr>
              <w:t xml:space="preserve">                                          签名：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20" w:lineRule="exact"/>
        <w:textAlignment w:val="auto"/>
        <w:rPr>
          <w:rFonts w:ascii="宋体" w:hAnsi="宋体" w:eastAsia="宋体"/>
          <w:b w:val="0"/>
          <w:bCs w:val="0"/>
          <w:kern w:val="0"/>
          <w:sz w:val="24"/>
          <w:szCs w:val="18"/>
        </w:rPr>
      </w:pPr>
      <w:r>
        <w:rPr>
          <w:rFonts w:hint="eastAsia" w:ascii="宋体" w:hAnsi="宋体" w:eastAsia="宋体"/>
          <w:b w:val="0"/>
          <w:bCs w:val="0"/>
          <w:kern w:val="0"/>
          <w:sz w:val="24"/>
          <w:szCs w:val="18"/>
        </w:rPr>
        <w:t>注：</w:t>
      </w:r>
      <w:r>
        <w:rPr>
          <w:rFonts w:ascii="宋体" w:hAnsi="宋体" w:eastAsia="宋体"/>
          <w:b w:val="0"/>
          <w:bCs w:val="0"/>
          <w:kern w:val="0"/>
          <w:sz w:val="24"/>
          <w:szCs w:val="18"/>
        </w:rPr>
        <w:t>1.</w:t>
      </w:r>
      <w:r>
        <w:rPr>
          <w:rFonts w:hint="eastAsia" w:ascii="宋体" w:hAnsi="宋体" w:eastAsia="宋体"/>
          <w:b w:val="0"/>
          <w:bCs w:val="0"/>
          <w:kern w:val="0"/>
          <w:sz w:val="24"/>
          <w:szCs w:val="18"/>
        </w:rPr>
        <w:t>学历学位若同时具备，应同时写明，如“本科，学士”。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2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kern w:val="0"/>
          <w:sz w:val="24"/>
          <w:szCs w:val="18"/>
        </w:rPr>
      </w:pPr>
      <w:r>
        <w:rPr>
          <w:rFonts w:ascii="宋体" w:hAnsi="宋体" w:eastAsia="宋体"/>
          <w:b w:val="0"/>
          <w:bCs w:val="0"/>
          <w:kern w:val="0"/>
          <w:sz w:val="24"/>
          <w:szCs w:val="18"/>
        </w:rPr>
        <w:t>2.</w:t>
      </w:r>
      <w:r>
        <w:rPr>
          <w:rFonts w:hint="eastAsia" w:ascii="宋体" w:hAnsi="宋体" w:eastAsia="宋体"/>
          <w:b w:val="0"/>
          <w:bCs w:val="0"/>
          <w:kern w:val="0"/>
          <w:sz w:val="24"/>
          <w:szCs w:val="18"/>
        </w:rPr>
        <w:t>《报名申请表》原件必须本人签字。</w:t>
      </w:r>
    </w:p>
    <w:sectPr>
      <w:pgSz w:w="11906" w:h="16838"/>
      <w:pgMar w:top="1440" w:right="128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F0500000000000000"/>
    <w:charset w:val="86"/>
    <w:family w:val="script"/>
    <w:pitch w:val="default"/>
    <w:sig w:usb0="00000001" w:usb1="08010000" w:usb2="00000012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0CACBF"/>
    <w:multiLevelType w:val="singleLevel"/>
    <w:tmpl w:val="AA0CAC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1FE2"/>
    <w:rsid w:val="0001602F"/>
    <w:rsid w:val="00056ADB"/>
    <w:rsid w:val="000859B3"/>
    <w:rsid w:val="00091DD0"/>
    <w:rsid w:val="00100048"/>
    <w:rsid w:val="00151688"/>
    <w:rsid w:val="001A6392"/>
    <w:rsid w:val="001F7342"/>
    <w:rsid w:val="002E48D9"/>
    <w:rsid w:val="00305943"/>
    <w:rsid w:val="00323EFD"/>
    <w:rsid w:val="0036484C"/>
    <w:rsid w:val="003C40D1"/>
    <w:rsid w:val="00477E92"/>
    <w:rsid w:val="004D3643"/>
    <w:rsid w:val="00523448"/>
    <w:rsid w:val="00567C10"/>
    <w:rsid w:val="00580A3B"/>
    <w:rsid w:val="005C542D"/>
    <w:rsid w:val="005E2D77"/>
    <w:rsid w:val="006D659C"/>
    <w:rsid w:val="007304EB"/>
    <w:rsid w:val="007D18FD"/>
    <w:rsid w:val="007E2711"/>
    <w:rsid w:val="008013A4"/>
    <w:rsid w:val="00815290"/>
    <w:rsid w:val="008955FD"/>
    <w:rsid w:val="008B6079"/>
    <w:rsid w:val="00915162"/>
    <w:rsid w:val="0092425D"/>
    <w:rsid w:val="00927B21"/>
    <w:rsid w:val="009631E2"/>
    <w:rsid w:val="00A572D2"/>
    <w:rsid w:val="00A8716B"/>
    <w:rsid w:val="00B725FB"/>
    <w:rsid w:val="00C97CE1"/>
    <w:rsid w:val="00CA2AAC"/>
    <w:rsid w:val="00CC2D7B"/>
    <w:rsid w:val="00D96CA1"/>
    <w:rsid w:val="00E14BAC"/>
    <w:rsid w:val="00E22E2A"/>
    <w:rsid w:val="00E32CEC"/>
    <w:rsid w:val="00EC0101"/>
    <w:rsid w:val="00F57B05"/>
    <w:rsid w:val="00F9613D"/>
    <w:rsid w:val="03673E5F"/>
    <w:rsid w:val="036E433B"/>
    <w:rsid w:val="071E0E56"/>
    <w:rsid w:val="0722723D"/>
    <w:rsid w:val="0B5D30AF"/>
    <w:rsid w:val="0ED57339"/>
    <w:rsid w:val="0F10750B"/>
    <w:rsid w:val="110C037B"/>
    <w:rsid w:val="144F7CE7"/>
    <w:rsid w:val="155B0A62"/>
    <w:rsid w:val="1DA15829"/>
    <w:rsid w:val="2026632A"/>
    <w:rsid w:val="212C29C4"/>
    <w:rsid w:val="223C1FE2"/>
    <w:rsid w:val="22500B2D"/>
    <w:rsid w:val="23E21EB5"/>
    <w:rsid w:val="2B5E2D93"/>
    <w:rsid w:val="32E87446"/>
    <w:rsid w:val="395120EE"/>
    <w:rsid w:val="395F3D49"/>
    <w:rsid w:val="3D952C3D"/>
    <w:rsid w:val="4150693C"/>
    <w:rsid w:val="416E432A"/>
    <w:rsid w:val="4BE31244"/>
    <w:rsid w:val="501A183A"/>
    <w:rsid w:val="50A44A74"/>
    <w:rsid w:val="50B0137C"/>
    <w:rsid w:val="57536599"/>
    <w:rsid w:val="5A5135B5"/>
    <w:rsid w:val="5EF22BC4"/>
    <w:rsid w:val="62BD1056"/>
    <w:rsid w:val="63E61AC9"/>
    <w:rsid w:val="67486395"/>
    <w:rsid w:val="67806FC0"/>
    <w:rsid w:val="68D75EBF"/>
    <w:rsid w:val="6945185C"/>
    <w:rsid w:val="6B9E4ACB"/>
    <w:rsid w:val="6D637ACD"/>
    <w:rsid w:val="73586975"/>
    <w:rsid w:val="757C6FC5"/>
    <w:rsid w:val="781C7F0D"/>
    <w:rsid w:val="7DE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标题 4 Char"/>
    <w:basedOn w:val="5"/>
    <w:link w:val="2"/>
    <w:qFormat/>
    <w:uiPriority w:val="0"/>
    <w:rPr>
      <w:rFonts w:ascii="Arial" w:hAnsi="Arial" w:eastAsia="黑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2412</Words>
  <Characters>638</Characters>
  <Lines>5</Lines>
  <Paragraphs>6</Paragraphs>
  <TotalTime>60</TotalTime>
  <ScaleCrop>false</ScaleCrop>
  <LinksUpToDate>false</LinksUpToDate>
  <CharactersWithSpaces>3044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2019-12-02T08:13:00Z</dcterms:created>
  <dc:creator>john</dc:creator>
  <cp:lastModifiedBy>陈韬</cp:lastModifiedBy>
  <cp:lastPrinted>2019-12-10T04:04:42Z</cp:lastPrinted>
  <dcterms:modified xsi:type="dcterms:W3CDTF">2019-12-10T04:11:02Z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