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pacing w:val="-4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-45"/>
          <w:sz w:val="44"/>
          <w:szCs w:val="44"/>
          <w:lang w:eastAsia="zh-CN"/>
        </w:rPr>
        <w:t>莒县</w:t>
      </w:r>
      <w:r>
        <w:rPr>
          <w:rFonts w:hint="default" w:ascii="Times New Roman" w:hAnsi="Times New Roman" w:eastAsia="方正小标宋简体" w:cs="Times New Roman"/>
          <w:color w:val="auto"/>
          <w:spacing w:val="-45"/>
          <w:sz w:val="44"/>
          <w:szCs w:val="44"/>
        </w:rPr>
        <w:t>2019年</w:t>
      </w:r>
      <w:r>
        <w:rPr>
          <w:rFonts w:hint="default" w:ascii="Times New Roman" w:hAnsi="Times New Roman" w:eastAsia="方正小标宋简体" w:cs="Times New Roman"/>
          <w:color w:val="auto"/>
          <w:spacing w:val="-45"/>
          <w:sz w:val="44"/>
          <w:szCs w:val="44"/>
          <w:lang w:eastAsia="zh-CN"/>
        </w:rPr>
        <w:t>公</w:t>
      </w:r>
      <w:r>
        <w:rPr>
          <w:rFonts w:hint="default" w:ascii="Times New Roman" w:hAnsi="Times New Roman" w:eastAsia="方正小标宋简体" w:cs="Times New Roman"/>
          <w:color w:val="auto"/>
          <w:spacing w:val="-45"/>
          <w:sz w:val="44"/>
          <w:szCs w:val="44"/>
        </w:rPr>
        <w:t>开招聘</w:t>
      </w:r>
      <w:r>
        <w:rPr>
          <w:rFonts w:hint="default" w:ascii="Times New Roman" w:hAnsi="Times New Roman" w:eastAsia="方正小标宋简体" w:cs="Times New Roman"/>
          <w:color w:val="auto"/>
          <w:spacing w:val="-45"/>
          <w:sz w:val="44"/>
          <w:szCs w:val="44"/>
          <w:lang w:val="en-US" w:eastAsia="zh-CN"/>
        </w:rPr>
        <w:t>城市社区工作者和政府购买社区服务岗位工作人员</w:t>
      </w:r>
      <w:r>
        <w:rPr>
          <w:rFonts w:hint="default" w:ascii="Times New Roman" w:hAnsi="Times New Roman" w:eastAsia="方正小标宋简体" w:cs="Times New Roman"/>
          <w:color w:val="auto"/>
          <w:spacing w:val="-45"/>
          <w:sz w:val="44"/>
          <w:szCs w:val="44"/>
        </w:rPr>
        <w:t>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</w:p>
    <w:tbl>
      <w:tblPr>
        <w:tblStyle w:val="4"/>
        <w:tblpPr w:leftFromText="180" w:rightFromText="180" w:vertAnchor="text" w:tblpX="250" w:tblpY="47"/>
        <w:tblOverlap w:val="never"/>
        <w:tblW w:w="13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951"/>
        <w:gridCol w:w="160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岗位</w:t>
            </w:r>
          </w:p>
        </w:tc>
        <w:tc>
          <w:tcPr>
            <w:tcW w:w="8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学历要求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tblHeader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专科：社会工作、社区管理与服务、公共关系、人力资源管理、行政管理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本科：社会学（二级学科）、社会工作、科学社会主义、中国共产党历史、思想政治教育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普通高校专科及以上学历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专科：汉语、文秘、文秘速录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本科：汉语言文学、秘书学、汉语言、应用语言学、新闻学、新闻传播学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普通高校专科及以上学历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tblHeader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专科：会计、审计、会计信息管理、财务管理、经济信息管理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本科：会计学、财务管理、国民经济管理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普通高校专科及以上学历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专科：法律事务、法律文秘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本科：法学（二级学科）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普通高校专科及以上学历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专科：计算机应用技术、计算机网络技术、计算机信息管理、计算机系统与维护、软件技术、软件与信息服务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本科：计算机科学与技术、软件工程、网络工程、 信息安全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普通高校专科及以上学历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tblHeader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岗位6</w:t>
            </w:r>
          </w:p>
        </w:tc>
        <w:tc>
          <w:tcPr>
            <w:tcW w:w="8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/>
              </w:rPr>
              <w:t>普通高校专科及以上学历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94523"/>
    <w:rsid w:val="6AA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2019-12-15T04:06:00Z</dcterms:created>
  <dc:creator>Administrator</dc:creator>
  <cp:lastModifiedBy>Administrator</cp:lastModifiedBy>
  <dcterms:modified xsi:type="dcterms:W3CDTF">2019-12-15T04:08:36Z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