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6"/>
          <w:szCs w:val="2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6"/>
          <w:szCs w:val="26"/>
        </w:rPr>
        <w:t>附件1</w:t>
      </w:r>
    </w:p>
    <w:p>
      <w:pPr>
        <w:jc w:val="center"/>
        <w:rPr>
          <w:rFonts w:ascii="华文中宋" w:hAnsi="华文中宋" w:eastAsia="华文中宋" w:cs="仿宋_GB2312"/>
          <w:b/>
          <w:sz w:val="28"/>
          <w:szCs w:val="28"/>
        </w:rPr>
      </w:pPr>
      <w:r>
        <w:rPr>
          <w:rFonts w:hint="eastAsia" w:ascii="华文中宋" w:hAnsi="华文中宋" w:eastAsia="华文中宋" w:cs="仿宋_GB2312"/>
          <w:b/>
          <w:sz w:val="28"/>
          <w:szCs w:val="28"/>
        </w:rPr>
        <w:t>四川省精神医学中心招聘岗位条件和报名要求一览表</w:t>
      </w:r>
    </w:p>
    <w:tbl>
      <w:tblPr>
        <w:tblStyle w:val="6"/>
        <w:tblW w:w="14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597"/>
        <w:gridCol w:w="1475"/>
        <w:gridCol w:w="1225"/>
        <w:gridCol w:w="1088"/>
        <w:gridCol w:w="1404"/>
        <w:gridCol w:w="3019"/>
        <w:gridCol w:w="3510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招聘对象</w:t>
            </w: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范围</w:t>
            </w:r>
          </w:p>
        </w:tc>
        <w:tc>
          <w:tcPr>
            <w:tcW w:w="6736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其他条件要求</w:t>
            </w:r>
          </w:p>
        </w:tc>
        <w:tc>
          <w:tcPr>
            <w:tcW w:w="3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专业条件要求</w:t>
            </w:r>
          </w:p>
        </w:tc>
        <w:tc>
          <w:tcPr>
            <w:tcW w:w="3019" w:type="dxa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3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widowControl/>
              <w:jc w:val="center"/>
              <w:rPr>
                <w:rFonts w:ascii="楷体_GB2312" w:hAnsi="华文中宋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1128" w:type="dxa"/>
            <w:shd w:val="clear" w:color="000000" w:fill="FFFFFF"/>
            <w:vAlign w:val="center"/>
          </w:tcPr>
          <w:p>
            <w:pPr>
              <w:ind w:firstLine="211" w:firstLineChars="100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护士长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（消化心身病房、心脏心身病房、疼痛心身病房、儿童心身病房、老年心身病房、重型精神疾病病房）</w:t>
            </w:r>
          </w:p>
        </w:tc>
        <w:tc>
          <w:tcPr>
            <w:tcW w:w="59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7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普通高等教育普通班护理专业毕业生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1982年1月1日及以后出生</w:t>
            </w:r>
          </w:p>
        </w:tc>
        <w:tc>
          <w:tcPr>
            <w:tcW w:w="1088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大学本科（学士）及以上学历学位</w:t>
            </w:r>
          </w:p>
        </w:tc>
        <w:tc>
          <w:tcPr>
            <w:tcW w:w="14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护理（学）</w:t>
            </w:r>
          </w:p>
        </w:tc>
        <w:tc>
          <w:tcPr>
            <w:tcW w:w="3019" w:type="dxa"/>
            <w:shd w:val="clear" w:color="000000" w:fill="FFFFFF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1.三甲医院工作经历5年以上，具有精神、心理及相关专业工作经验者优先；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2.主管护师及以上职称，具有科研能力者优先。</w:t>
            </w:r>
          </w:p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3.要求有较强的管理能力、执行能力；较强的沟通能力、组织协调能力；有良好的紧急事件处理能力。</w:t>
            </w:r>
          </w:p>
        </w:tc>
        <w:tc>
          <w:tcPr>
            <w:tcW w:w="3510" w:type="dxa"/>
            <w:shd w:val="clear" w:color="000000" w:fill="FFFFFF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1、制定病房工作计划，组织实施。经常督促检查，发现问题，及时解决。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2、负责病区的整洁、安静、安全，负责仪器、设备、药品的管理。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3、组织领导护理人员的业务学习及专科技术训练；带领科室做好临床护理服务、不断提高教学和护理科研水平。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4、参与主任或主治医师查房及疑难病的讨论，加强医护配合，检查医嘱执行情况，严防差错发生。</w:t>
            </w:r>
          </w:p>
          <w:p>
            <w:pPr>
              <w:jc w:val="left"/>
              <w:rPr>
                <w:rFonts w:ascii="宋体" w:hAnsi="宋体" w:cs="宋体"/>
                <w:color w:val="333333"/>
                <w:sz w:val="18"/>
                <w:szCs w:val="18"/>
                <w:shd w:val="clear" w:color="auto" w:fill="F7F7F7"/>
              </w:rPr>
            </w:pPr>
            <w:r>
              <w:rPr>
                <w:rFonts w:hint="eastAsia" w:ascii="仿宋_GB2312" w:eastAsia="仿宋_GB2312"/>
                <w:szCs w:val="21"/>
              </w:rPr>
              <w:t>5、配合科主任做好科内科外的协调工作，及时完成领导交办的各项相关工作。</w:t>
            </w:r>
          </w:p>
        </w:tc>
        <w:tc>
          <w:tcPr>
            <w:tcW w:w="1322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如经录用，工龄、职称</w:t>
            </w:r>
            <w:r>
              <w:rPr>
                <w:rFonts w:hint="eastAsia" w:ascii="仿宋_GB2312" w:eastAsia="仿宋_GB2312"/>
                <w:szCs w:val="21"/>
              </w:rPr>
              <w:t>待遇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和原单位保持不变。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1128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财务窗口A</w:t>
            </w:r>
          </w:p>
        </w:tc>
        <w:tc>
          <w:tcPr>
            <w:tcW w:w="597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75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普通高等教育全日制普通班毕业生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1984年1月1日及以后出生</w:t>
            </w:r>
          </w:p>
        </w:tc>
        <w:tc>
          <w:tcPr>
            <w:tcW w:w="1088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大学本科（学士）及以上学历学位</w:t>
            </w:r>
          </w:p>
        </w:tc>
        <w:tc>
          <w:tcPr>
            <w:tcW w:w="1404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会计学、财务管理、审计学、电子商务等相关专业</w:t>
            </w:r>
          </w:p>
        </w:tc>
        <w:tc>
          <w:tcPr>
            <w:tcW w:w="3019" w:type="dxa"/>
            <w:shd w:val="clear" w:color="000000" w:fill="FFFFFF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具备较强的沟通协作能力，熟练电脑操作。有相关专业初级证书优先，有医院收费岗位工作经验优先。</w:t>
            </w:r>
          </w:p>
        </w:tc>
        <w:tc>
          <w:tcPr>
            <w:tcW w:w="3510" w:type="dxa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333333"/>
                <w:sz w:val="18"/>
                <w:szCs w:val="18"/>
                <w:shd w:val="clear" w:color="auto" w:fill="F7F7F7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熟悉收费和物价管理及医保相关知识；熟练掌握药品、收费项目名称；负责编制收入日报表；负责向患者进行收费咨询工作；完成领导交办的工作等。</w:t>
            </w:r>
          </w:p>
        </w:tc>
        <w:tc>
          <w:tcPr>
            <w:tcW w:w="1322" w:type="dxa"/>
            <w:shd w:val="clear" w:color="000000" w:fill="FFFFFF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1128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财务窗口B</w:t>
            </w:r>
          </w:p>
        </w:tc>
        <w:tc>
          <w:tcPr>
            <w:tcW w:w="597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75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普通高等教育全日制普通班毕业生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1984年1月1日及以后出生</w:t>
            </w:r>
          </w:p>
        </w:tc>
        <w:tc>
          <w:tcPr>
            <w:tcW w:w="1088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大学本科（学士）及以上学历学位</w:t>
            </w:r>
          </w:p>
        </w:tc>
        <w:tc>
          <w:tcPr>
            <w:tcW w:w="1404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临床医学类、护理类、统计学类、金融学类</w:t>
            </w:r>
          </w:p>
        </w:tc>
        <w:tc>
          <w:tcPr>
            <w:tcW w:w="3019" w:type="dxa"/>
            <w:shd w:val="clear" w:color="000000" w:fill="FFFFFF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具备一定的医疗知识，良好的表达和沟通能力。有相关专业初级证书优先，有临床工作背景及医院医保办工作经验优先。</w:t>
            </w:r>
          </w:p>
        </w:tc>
        <w:tc>
          <w:tcPr>
            <w:tcW w:w="3510" w:type="dxa"/>
            <w:shd w:val="clear" w:color="000000" w:fill="FFFFFF"/>
            <w:vAlign w:val="center"/>
          </w:tcPr>
          <w:p>
            <w:pPr>
              <w:pStyle w:val="5"/>
              <w:shd w:val="clear" w:color="auto" w:fill="FFFFFF"/>
              <w:spacing w:line="300" w:lineRule="atLeast"/>
              <w:rPr>
                <w:rFonts w:ascii="仿宋_GB2312" w:hAnsi="Times New Roman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2"/>
                <w:sz w:val="21"/>
                <w:szCs w:val="21"/>
              </w:rPr>
              <w:t>负责各级联网医保患者出院费用审核；负责省、市医保患者门诊特殊疾病及重特大疾病认定；负责解答患者医保物价政策咨询；完成领导交办的工作等。</w:t>
            </w:r>
          </w:p>
        </w:tc>
        <w:tc>
          <w:tcPr>
            <w:tcW w:w="1322" w:type="dxa"/>
            <w:shd w:val="clear" w:color="000000" w:fill="FFFFFF"/>
          </w:tcPr>
          <w:p>
            <w:pPr>
              <w:pStyle w:val="5"/>
              <w:shd w:val="clear" w:color="auto" w:fill="FFFFFF"/>
              <w:spacing w:line="300" w:lineRule="atLeast"/>
              <w:rPr>
                <w:rFonts w:hint="eastAsia" w:ascii="仿宋_GB2312" w:hAnsi="Times New Roman"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1128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信息管理</w:t>
            </w:r>
          </w:p>
        </w:tc>
        <w:tc>
          <w:tcPr>
            <w:tcW w:w="597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75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普通高等教育全日制普通班毕业生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1974年1月1日及以后出生</w:t>
            </w:r>
          </w:p>
        </w:tc>
        <w:tc>
          <w:tcPr>
            <w:tcW w:w="1088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大学本科（学士）及以上学历学位</w:t>
            </w:r>
          </w:p>
        </w:tc>
        <w:tc>
          <w:tcPr>
            <w:tcW w:w="1404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de-DE"/>
              </w:rPr>
              <w:t>计算机类</w:t>
            </w:r>
          </w:p>
        </w:tc>
        <w:tc>
          <w:tcPr>
            <w:tcW w:w="3019" w:type="dxa"/>
            <w:shd w:val="clear" w:color="000000" w:fill="FFFFFF"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ascii="仿宋_GB2312" w:eastAsia="仿宋_GB2312"/>
                <w:szCs w:val="21"/>
                <w:lang w:val="de-DE"/>
              </w:rPr>
            </w:pPr>
            <w:r>
              <w:rPr>
                <w:rFonts w:hint="eastAsia" w:ascii="仿宋_GB2312" w:eastAsia="仿宋_GB2312"/>
                <w:szCs w:val="21"/>
                <w:lang w:val="de-DE"/>
              </w:rPr>
              <w:t>1.熟悉交换机、服务器、PC机、打印机等设备； 2.熟悉RACLE/Sqlserver数据库，能编写sql查询语句；</w:t>
            </w:r>
          </w:p>
          <w:p>
            <w:pPr>
              <w:tabs>
                <w:tab w:val="left" w:pos="312"/>
              </w:tabs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de-DE"/>
              </w:rPr>
              <w:t>3.有1年以上信息管理工作经验；</w:t>
            </w:r>
            <w:r>
              <w:rPr>
                <w:rFonts w:hint="eastAsia" w:ascii="仿宋_GB2312" w:eastAsia="仿宋_GB2312"/>
                <w:szCs w:val="21"/>
              </w:rPr>
              <w:t xml:space="preserve"> 4</w:t>
            </w:r>
            <w:r>
              <w:rPr>
                <w:rFonts w:hint="eastAsia" w:ascii="仿宋_GB2312" w:eastAsia="仿宋_GB2312"/>
                <w:szCs w:val="21"/>
                <w:lang w:val="de-DE"/>
              </w:rPr>
              <w:t>.熟悉医院流程者、有医疗信息系统维护开发经验者或有医院信息管理者优先。</w:t>
            </w:r>
          </w:p>
        </w:tc>
        <w:tc>
          <w:tcPr>
            <w:tcW w:w="3510" w:type="dxa"/>
            <w:shd w:val="clear" w:color="000000" w:fill="FFFFFF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de-DE"/>
              </w:rPr>
              <w:t>1.负责各种软件系统的维护、</w:t>
            </w:r>
            <w:r>
              <w:rPr>
                <w:rFonts w:hint="eastAsia" w:ascii="仿宋_GB2312" w:eastAsia="仿宋_GB2312"/>
                <w:szCs w:val="21"/>
              </w:rPr>
              <w:t>修正操作失误造成的数据错误、为业务科室提供数据报表、协助开发人员进行软件版本发布；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2.负责信息系统服务器、网络等硬件设备的维护；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  <w:lang w:val="de-DE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  <w:lang w:val="de-DE"/>
              </w:rPr>
              <w:t>.负责各软件系统的实施、培训，用户指导工作；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  <w:lang w:val="de-DE"/>
              </w:rPr>
            </w:pPr>
            <w:r>
              <w:rPr>
                <w:rFonts w:hint="eastAsia" w:ascii="仿宋_GB2312" w:eastAsia="仿宋_GB2312"/>
                <w:szCs w:val="21"/>
                <w:lang w:val="de-DE"/>
              </w:rPr>
              <w:t>4.接受各业务科室软件问题反馈，整理文档并提交软件开发人员；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de-DE"/>
              </w:rPr>
              <w:t>5.负责沟通和协调业务科室和开发人员解决软件运行期间出现的问题。</w:t>
            </w:r>
          </w:p>
        </w:tc>
        <w:tc>
          <w:tcPr>
            <w:tcW w:w="1322" w:type="dxa"/>
            <w:shd w:val="clear" w:color="000000" w:fill="FFFFFF"/>
          </w:tcPr>
          <w:p>
            <w:pPr>
              <w:spacing w:line="240" w:lineRule="atLeast"/>
              <w:rPr>
                <w:rFonts w:hint="eastAsia" w:ascii="仿宋_GB2312" w:eastAsia="仿宋_GB2312"/>
                <w:szCs w:val="21"/>
                <w:lang w:val="de-DE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bCs/>
          <w:sz w:val="26"/>
          <w:szCs w:val="2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26"/>
          <w:szCs w:val="26"/>
        </w:rPr>
      </w:pPr>
      <w:r>
        <w:rPr>
          <w:rFonts w:hint="eastAsia" w:ascii="黑体" w:hAnsi="黑体" w:eastAsia="黑体" w:cs="黑体"/>
          <w:bCs/>
          <w:sz w:val="26"/>
          <w:szCs w:val="26"/>
        </w:rPr>
        <w:t>附件2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77"/>
        <w:gridCol w:w="720"/>
        <w:gridCol w:w="905"/>
        <w:gridCol w:w="1414"/>
        <w:gridCol w:w="1106"/>
        <w:gridCol w:w="1080"/>
        <w:gridCol w:w="1077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现有专业技术资格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（方向）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初始学历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（方向）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学习和工作经历</w:t>
            </w:r>
          </w:p>
        </w:tc>
        <w:tc>
          <w:tcPr>
            <w:tcW w:w="901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ind w:leftChars="-51" w:hanging="107" w:hangingChars="5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曾经获得的奖励</w:t>
            </w:r>
          </w:p>
        </w:tc>
        <w:tc>
          <w:tcPr>
            <w:tcW w:w="901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065" w:type="dxa"/>
            <w:vAlign w:val="center"/>
          </w:tcPr>
          <w:p>
            <w:pPr>
              <w:widowControl/>
              <w:ind w:leftChars="-51" w:hanging="107" w:hangingChars="5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论文科研情况</w:t>
            </w:r>
          </w:p>
        </w:tc>
        <w:tc>
          <w:tcPr>
            <w:tcW w:w="901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98"/>
    <w:rsid w:val="00005DDC"/>
    <w:rsid w:val="00023036"/>
    <w:rsid w:val="00027810"/>
    <w:rsid w:val="0005684C"/>
    <w:rsid w:val="000806E0"/>
    <w:rsid w:val="00085F8A"/>
    <w:rsid w:val="000877FF"/>
    <w:rsid w:val="000C52F0"/>
    <w:rsid w:val="000C6AAE"/>
    <w:rsid w:val="0014264A"/>
    <w:rsid w:val="00153099"/>
    <w:rsid w:val="00153464"/>
    <w:rsid w:val="00160E2F"/>
    <w:rsid w:val="00166156"/>
    <w:rsid w:val="001D35FD"/>
    <w:rsid w:val="002364B7"/>
    <w:rsid w:val="002815D4"/>
    <w:rsid w:val="00296AD8"/>
    <w:rsid w:val="00306DF5"/>
    <w:rsid w:val="00341F36"/>
    <w:rsid w:val="003873CC"/>
    <w:rsid w:val="003A4170"/>
    <w:rsid w:val="003C5606"/>
    <w:rsid w:val="003C7E81"/>
    <w:rsid w:val="003D13FA"/>
    <w:rsid w:val="0042443A"/>
    <w:rsid w:val="0042661A"/>
    <w:rsid w:val="0046743A"/>
    <w:rsid w:val="004705F9"/>
    <w:rsid w:val="0047718F"/>
    <w:rsid w:val="00496B80"/>
    <w:rsid w:val="004D619E"/>
    <w:rsid w:val="004D7236"/>
    <w:rsid w:val="00503899"/>
    <w:rsid w:val="0051250B"/>
    <w:rsid w:val="00515205"/>
    <w:rsid w:val="005460FA"/>
    <w:rsid w:val="00555013"/>
    <w:rsid w:val="00581616"/>
    <w:rsid w:val="005856AA"/>
    <w:rsid w:val="005A208A"/>
    <w:rsid w:val="005A467E"/>
    <w:rsid w:val="005E7550"/>
    <w:rsid w:val="00607ED1"/>
    <w:rsid w:val="0061490E"/>
    <w:rsid w:val="0061709D"/>
    <w:rsid w:val="00623D9C"/>
    <w:rsid w:val="00631CCA"/>
    <w:rsid w:val="00652995"/>
    <w:rsid w:val="0065600A"/>
    <w:rsid w:val="00661CC9"/>
    <w:rsid w:val="00683C67"/>
    <w:rsid w:val="006C1898"/>
    <w:rsid w:val="00713FF8"/>
    <w:rsid w:val="00762BD9"/>
    <w:rsid w:val="007E2934"/>
    <w:rsid w:val="007F2148"/>
    <w:rsid w:val="008302E3"/>
    <w:rsid w:val="00837B87"/>
    <w:rsid w:val="008426E3"/>
    <w:rsid w:val="00871E5E"/>
    <w:rsid w:val="00890074"/>
    <w:rsid w:val="008B3B99"/>
    <w:rsid w:val="008C4AB7"/>
    <w:rsid w:val="008D4A7C"/>
    <w:rsid w:val="00963736"/>
    <w:rsid w:val="00963823"/>
    <w:rsid w:val="00966648"/>
    <w:rsid w:val="00975959"/>
    <w:rsid w:val="009B78F5"/>
    <w:rsid w:val="00A0354F"/>
    <w:rsid w:val="00A03FE7"/>
    <w:rsid w:val="00A25FF0"/>
    <w:rsid w:val="00A2624B"/>
    <w:rsid w:val="00A4391A"/>
    <w:rsid w:val="00A65B5D"/>
    <w:rsid w:val="00A91533"/>
    <w:rsid w:val="00AA4D5D"/>
    <w:rsid w:val="00AB51C4"/>
    <w:rsid w:val="00AE014D"/>
    <w:rsid w:val="00B44242"/>
    <w:rsid w:val="00B83464"/>
    <w:rsid w:val="00B8702B"/>
    <w:rsid w:val="00BA02D0"/>
    <w:rsid w:val="00C4183E"/>
    <w:rsid w:val="00C66FDF"/>
    <w:rsid w:val="00C71124"/>
    <w:rsid w:val="00C736D8"/>
    <w:rsid w:val="00C84AC4"/>
    <w:rsid w:val="00C97FA1"/>
    <w:rsid w:val="00CB66C7"/>
    <w:rsid w:val="00CB7F5F"/>
    <w:rsid w:val="00D1166E"/>
    <w:rsid w:val="00D33F40"/>
    <w:rsid w:val="00D45885"/>
    <w:rsid w:val="00D56628"/>
    <w:rsid w:val="00D7120E"/>
    <w:rsid w:val="00D83846"/>
    <w:rsid w:val="00D9462A"/>
    <w:rsid w:val="00DD0F1B"/>
    <w:rsid w:val="00DF2270"/>
    <w:rsid w:val="00E148C3"/>
    <w:rsid w:val="00E15F6C"/>
    <w:rsid w:val="00E2364D"/>
    <w:rsid w:val="00E43098"/>
    <w:rsid w:val="00E55ED0"/>
    <w:rsid w:val="00E56C01"/>
    <w:rsid w:val="00EB6C9D"/>
    <w:rsid w:val="00ED5414"/>
    <w:rsid w:val="00F018EF"/>
    <w:rsid w:val="00F6672C"/>
    <w:rsid w:val="00FA036E"/>
    <w:rsid w:val="00FC46C0"/>
    <w:rsid w:val="00FC5DBA"/>
    <w:rsid w:val="00FC74EC"/>
    <w:rsid w:val="027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683785-DBD8-4D4F-942F-BD683254D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402</Words>
  <Characters>2296</Characters>
  <Lines>19</Lines>
  <Paragraphs>5</Paragraphs>
  <TotalTime>1127</TotalTime>
  <ScaleCrop>false</ScaleCrop>
  <LinksUpToDate>false</LinksUpToDate>
  <CharactersWithSpaces>2693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2019-09-06T02:55:00Z</dcterms:created>
  <dc:creator>Lenovo</dc:creator>
  <cp:lastModifiedBy>康康</cp:lastModifiedBy>
  <cp:lastPrinted>2019-10-15T02:52:00Z</cp:lastPrinted>
  <dcterms:modified xsi:type="dcterms:W3CDTF">2019-12-24T02:08:32Z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