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955"/>
        </w:tabs>
        <w:kinsoku/>
        <w:overflowPunct/>
        <w:topLinePunct w:val="0"/>
        <w:autoSpaceDE/>
        <w:autoSpaceDN/>
        <w:bidi w:val="0"/>
        <w:adjustRightInd/>
        <w:snapToGrid/>
        <w:spacing w:line="600" w:lineRule="exact"/>
        <w:rPr>
          <w:rFonts w:eastAsia="仿宋_GB2312"/>
          <w:sz w:val="32"/>
          <w:szCs w:val="32"/>
        </w:rPr>
      </w:pPr>
      <w:bookmarkStart w:id="0" w:name="_GoBack"/>
      <w:bookmarkEnd w:id="0"/>
      <w:r>
        <w:rPr>
          <w:rFonts w:eastAsia="黑体"/>
          <w:sz w:val="32"/>
          <w:szCs w:val="32"/>
        </w:rPr>
        <w:t>附件</w:t>
      </w:r>
      <w:r>
        <w:rPr>
          <w:rFonts w:hint="eastAsia" w:eastAsia="黑体"/>
          <w:sz w:val="32"/>
          <w:szCs w:val="32"/>
        </w:rPr>
        <w:t>16</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center"/>
        <w:rPr>
          <w:rFonts w:hint="eastAsia" w:ascii="宋体" w:hAnsi="宋体" w:cs="宋体"/>
          <w:b/>
          <w:bCs/>
          <w:sz w:val="40"/>
          <w:szCs w:val="40"/>
        </w:rPr>
      </w:pPr>
    </w:p>
    <w:p>
      <w:pPr>
        <w:keepNext w:val="0"/>
        <w:keepLines w:val="0"/>
        <w:pageBreakBefore w:val="0"/>
        <w:widowControl/>
        <w:shd w:val="clear" w:color="auto" w:fill="FFFFFF"/>
        <w:kinsoku/>
        <w:overflowPunct/>
        <w:topLinePunct w:val="0"/>
        <w:autoSpaceDE/>
        <w:autoSpaceDN/>
        <w:bidi w:val="0"/>
        <w:adjustRightInd/>
        <w:snapToGrid/>
        <w:spacing w:line="600" w:lineRule="exact"/>
        <w:jc w:val="center"/>
        <w:rPr>
          <w:rFonts w:ascii="宋体" w:hAnsi="宋体" w:cs="宋体"/>
          <w:b/>
          <w:bCs/>
          <w:color w:val="000000"/>
          <w:kern w:val="0"/>
          <w:sz w:val="44"/>
          <w:szCs w:val="44"/>
          <w:shd w:val="clear" w:color="auto" w:fill="FFFFFF"/>
        </w:rPr>
      </w:pPr>
      <w:r>
        <w:rPr>
          <w:rFonts w:hint="eastAsia" w:ascii="宋体" w:hAnsi="宋体" w:cs="宋体"/>
          <w:b/>
          <w:bCs/>
          <w:sz w:val="40"/>
          <w:szCs w:val="40"/>
        </w:rPr>
        <w:t>湖州市南浔区2020年上半年医疗卫生单位      高层次人才招聘公告</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40"/>
        <w:jc w:val="left"/>
        <w:rPr>
          <w:rFonts w:ascii="仿宋_GB2312" w:hAnsi="Arial" w:eastAsia="仿宋_GB2312" w:cs="仿宋_GB2312"/>
          <w:color w:val="000000"/>
          <w:kern w:val="0"/>
          <w:sz w:val="32"/>
          <w:szCs w:val="32"/>
          <w:shd w:val="clear" w:color="auto" w:fill="FFFFFF"/>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宋体" w:hAnsi="宋体"/>
          <w:b/>
          <w:color w:val="000000"/>
          <w:sz w:val="28"/>
          <w:szCs w:val="28"/>
        </w:rPr>
      </w:pPr>
      <w:r>
        <w:rPr>
          <w:rFonts w:hint="eastAsia" w:ascii="黑体" w:hAnsi="黑体" w:eastAsia="黑体" w:cs="黑体"/>
          <w:color w:val="000000"/>
          <w:sz w:val="32"/>
          <w:szCs w:val="32"/>
          <w:shd w:val="clear" w:color="auto" w:fill="FFFFFF"/>
        </w:rPr>
        <w:t>一</w:t>
      </w:r>
      <w:r>
        <w:rPr>
          <w:rFonts w:hint="eastAsia" w:ascii="Calibri" w:hAnsi="Calibri" w:eastAsia="黑体" w:cs="Times New Roman"/>
          <w:sz w:val="32"/>
          <w:szCs w:val="32"/>
        </w:rPr>
        <w:t>、浙江南浔简介</w:t>
      </w:r>
      <w:r>
        <w:rPr>
          <w:rFonts w:hint="eastAsia" w:ascii="宋体" w:hAnsi="宋体" w:cs="宋体"/>
          <w:color w:val="000000"/>
          <w:szCs w:val="21"/>
          <w:shd w:val="clear" w:color="auto" w:fill="FFFFFF"/>
        </w:rPr>
        <w:br w:type="textWrapping"/>
      </w:r>
      <w:r>
        <w:rPr>
          <w:rFonts w:hint="eastAsia" w:ascii="宋体" w:hAnsi="宋体" w:cs="宋体"/>
          <w:color w:val="000000"/>
          <w:szCs w:val="21"/>
          <w:shd w:val="clear" w:color="auto" w:fill="FFFFFF"/>
        </w:rPr>
        <w:t>   </w:t>
      </w:r>
      <w:r>
        <w:rPr>
          <w:rFonts w:hint="eastAsia" w:ascii="仿宋_GB2312" w:hAnsi="宋体" w:eastAsia="仿宋_GB2312" w:cs="宋体"/>
          <w:b/>
          <w:bCs/>
          <w:color w:val="000000"/>
          <w:kern w:val="0"/>
          <w:sz w:val="32"/>
          <w:szCs w:val="32"/>
        </w:rPr>
        <w:t>地理位置优越</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仿宋_GB2312" w:hAnsi="宋体" w:eastAsia="仿宋_GB2312" w:cs="宋体"/>
          <w:color w:val="000000"/>
          <w:kern w:val="0"/>
          <w:sz w:val="32"/>
          <w:szCs w:val="32"/>
        </w:rPr>
      </w:pPr>
      <w:r>
        <w:rPr>
          <w:rFonts w:hint="eastAsia" w:ascii="Times New Roman" w:hAnsi="Calibri" w:eastAsia="仿宋_GB2312" w:cs="Times New Roman"/>
          <w:kern w:val="2"/>
          <w:sz w:val="32"/>
          <w:szCs w:val="32"/>
          <w:lang w:val="en-US" w:eastAsia="zh-CN" w:bidi="ar-SA"/>
        </w:rPr>
        <w:t>浙江省湖州市南浔区位于江浙沪两省一市的交界处，北濒太湖，东接江苏省苏州市,地处长三角城市群的中心腹地。</w:t>
      </w:r>
      <w:r>
        <w:rPr>
          <w:rFonts w:hint="eastAsia" w:ascii="仿宋_GB2312" w:hAnsi="宋体" w:eastAsia="仿宋_GB2312" w:cs="宋体"/>
          <w:color w:val="000000"/>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文化底蕴深厚</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仿宋_GB2312" w:hAnsi="宋体" w:eastAsia="仿宋_GB2312" w:cs="宋体"/>
          <w:color w:val="000000"/>
          <w:kern w:val="0"/>
          <w:sz w:val="32"/>
          <w:szCs w:val="32"/>
        </w:rPr>
      </w:pPr>
      <w:r>
        <w:rPr>
          <w:rFonts w:hint="eastAsia" w:ascii="Times New Roman" w:hAnsi="Calibri" w:eastAsia="仿宋_GB2312" w:cs="Times New Roman"/>
          <w:kern w:val="2"/>
          <w:sz w:val="32"/>
          <w:szCs w:val="32"/>
          <w:lang w:val="en-US" w:eastAsia="zh-CN" w:bidi="ar-SA"/>
        </w:rPr>
        <w:t>南浔具有独特的水乡古镇风貌、别具一格的江南园林、中西合璧的精美建筑，被联合国教科文组织列入世界历史文化遗产名录。</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南浔旅游资源丰富</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仿宋_GB2312" w:hAnsi="宋体" w:eastAsia="仿宋_GB2312" w:cs="宋体"/>
          <w:color w:val="000000"/>
          <w:kern w:val="0"/>
          <w:sz w:val="32"/>
          <w:szCs w:val="32"/>
        </w:rPr>
      </w:pPr>
      <w:r>
        <w:rPr>
          <w:rFonts w:hint="eastAsia" w:ascii="Times New Roman" w:hAnsi="Calibri" w:eastAsia="仿宋_GB2312" w:cs="Times New Roman"/>
          <w:kern w:val="2"/>
          <w:sz w:val="32"/>
          <w:szCs w:val="32"/>
          <w:lang w:val="en-US" w:eastAsia="zh-CN" w:bidi="ar-SA"/>
        </w:rPr>
        <w:t>南浔镇是中国十大魅力名镇、中国历史文化名镇和国家5A级旅游景区</w:t>
      </w:r>
      <w:r>
        <w:rPr>
          <w:rFonts w:hint="eastAsia" w:ascii="仿宋_GB2312" w:hAnsi="宋体"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经济快速发展</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xml:space="preserve">    </w:t>
      </w:r>
      <w:r>
        <w:rPr>
          <w:rFonts w:hint="eastAsia" w:ascii="Times New Roman" w:hAnsi="Calibri" w:eastAsia="仿宋_GB2312" w:cs="Times New Roman"/>
          <w:kern w:val="2"/>
          <w:sz w:val="32"/>
          <w:szCs w:val="32"/>
          <w:lang w:val="en-US" w:eastAsia="zh-CN" w:bidi="ar-SA"/>
        </w:rPr>
        <w:t>南浔区属国家级可持续发展实验区、省级科技强区、国家火炬计划南浔特种电磁线产业基地和省级电梯高新技术特色产业基地。</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医疗卫生资源稳步提高</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荣誉称号多。</w:t>
      </w:r>
      <w:r>
        <w:rPr>
          <w:rFonts w:hint="eastAsia" w:ascii="Times New Roman" w:hAnsi="Calibri" w:eastAsia="仿宋_GB2312" w:cs="Times New Roman"/>
          <w:kern w:val="2"/>
          <w:sz w:val="32"/>
          <w:szCs w:val="32"/>
          <w:lang w:val="en-US" w:eastAsia="zh-CN" w:bidi="ar-SA"/>
        </w:rPr>
        <w:t>南</w:t>
      </w:r>
      <w:r>
        <w:rPr>
          <w:rFonts w:hint="eastAsia" w:ascii="Times New Roman" w:hAnsi="Calibri" w:eastAsia="仿宋_GB2312" w:cs="Times New Roman"/>
          <w:kern w:val="2"/>
          <w:sz w:val="32"/>
          <w:szCs w:val="32"/>
          <w:lang w:val="en-US" w:eastAsia="zh-CN" w:bidi="ar-SA"/>
        </w:rPr>
        <w:t>浔区是浙江省29个县级公立医院综合改革试点和17个首批县乡村卫生一体化综合管理试点县区之一，先后被命名为“国家级可持续发展实验区”“国家知识产权强县工程试点区”等各项殊荣。</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仿宋_GB2312" w:hAnsi="宋体" w:eastAsia="仿宋_GB2312" w:cs="宋体"/>
          <w:color w:val="000000"/>
          <w:kern w:val="0"/>
          <w:sz w:val="32"/>
          <w:szCs w:val="32"/>
        </w:rPr>
      </w:pPr>
      <w:r>
        <w:rPr>
          <w:rFonts w:hint="eastAsia" w:ascii="Times New Roman" w:hAnsi="Calibri" w:eastAsia="仿宋_GB2312" w:cs="Times New Roman"/>
          <w:kern w:val="2"/>
          <w:sz w:val="32"/>
          <w:szCs w:val="32"/>
          <w:lang w:val="en-US" w:eastAsia="zh-CN" w:bidi="ar-SA"/>
        </w:rPr>
        <w:t>根据《南太湖医疗卫生领军人才引进实施办法》、《关于进一步加强卫技人才引育工作的实施意见》等有关规定，现就湖州市南浔区医疗卫生单位2020年上半年急需紧缺卫生高层次人才招聘具体事项公告如下：</w:t>
      </w:r>
      <w:r>
        <w:rPr>
          <w:rFonts w:ascii="仿宋_GB2312" w:hAnsi="宋体" w:eastAsia="仿宋_GB2312" w:cs="宋体"/>
          <w:color w:val="000000"/>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w:t>
      </w:r>
      <w:r>
        <w:rPr>
          <w:rFonts w:hint="eastAsia" w:ascii="Calibri" w:hAnsi="Calibri" w:eastAsia="黑体" w:cs="Times New Roman"/>
          <w:sz w:val="32"/>
          <w:szCs w:val="32"/>
        </w:rPr>
        <w:t>、招聘计划</w:t>
      </w:r>
      <w:r>
        <w:rPr>
          <w:rFonts w:ascii="黑体" w:hAnsi="黑体" w:eastAsia="黑体" w:cs="黑体"/>
          <w:color w:val="000000"/>
          <w:sz w:val="32"/>
          <w:szCs w:val="32"/>
          <w:shd w:val="clear" w:color="auto" w:fill="FFFFFF"/>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计划招聘急需紧缺卫生高层次人才30名，招聘岗位、报考专业、数量详见《湖州市南浔区2020年上半年医疗卫生单位急需紧缺卫生高层次人才招聘计划表》（附件1）。</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ascii="仿宋_GB2312" w:hAnsi="宋体" w:eastAsia="仿宋_GB2312" w:cs="宋体"/>
          <w:kern w:val="0"/>
          <w:sz w:val="32"/>
          <w:szCs w:val="32"/>
        </w:rPr>
      </w:pPr>
      <w:r>
        <w:rPr>
          <w:rFonts w:ascii="仿宋_GB2312" w:hAnsi="宋体" w:eastAsia="仿宋_GB2312" w:cs="宋体"/>
          <w:b/>
          <w:bCs/>
          <w:kern w:val="0"/>
          <w:sz w:val="32"/>
          <w:szCs w:val="32"/>
        </w:rPr>
        <w:t>招聘对象与条件</w:t>
      </w:r>
      <w:r>
        <w:rPr>
          <w:rFonts w:ascii="仿宋_GB2312" w:hAnsi="宋体" w:eastAsia="仿宋_GB2312" w:cs="宋体"/>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ascii="仿宋_GB2312" w:hAnsi="宋体" w:eastAsia="仿宋_GB2312" w:cs="宋体"/>
          <w:color w:val="0000FF"/>
          <w:kern w:val="0"/>
          <w:sz w:val="32"/>
          <w:szCs w:val="32"/>
        </w:rPr>
      </w:pPr>
      <w:r>
        <w:rPr>
          <w:rFonts w:ascii="仿宋_GB2312" w:hAnsi="宋体" w:eastAsia="仿宋_GB2312" w:cs="宋体"/>
          <w:b/>
          <w:bCs/>
          <w:color w:val="000000"/>
          <w:kern w:val="0"/>
          <w:sz w:val="32"/>
          <w:szCs w:val="32"/>
        </w:rPr>
        <w:t>（</w:t>
      </w:r>
      <w:r>
        <w:rPr>
          <w:rFonts w:hint="eastAsia" w:ascii="Calibri" w:hAnsi="Calibri" w:eastAsia="楷体_GB2312" w:cs="Times New Roman"/>
          <w:b/>
          <w:sz w:val="32"/>
          <w:szCs w:val="32"/>
          <w:lang w:val="en-US" w:eastAsia="zh-CN"/>
        </w:rPr>
        <w:t>一）招聘对象</w:t>
      </w:r>
      <w:r>
        <w:rPr>
          <w:rFonts w:ascii="仿宋_GB2312" w:hAnsi="宋体" w:eastAsia="仿宋_GB2312" w:cs="宋体"/>
          <w:b/>
          <w:bCs/>
          <w:color w:val="000000"/>
          <w:kern w:val="0"/>
          <w:sz w:val="32"/>
          <w:szCs w:val="32"/>
        </w:rPr>
        <w:t xml:space="preserve"> </w:t>
      </w:r>
      <w:r>
        <w:rPr>
          <w:rFonts w:ascii="仿宋_GB2312" w:hAnsi="宋体" w:eastAsia="仿宋_GB2312" w:cs="宋体"/>
          <w:color w:val="0000FF"/>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1.全日制普通高校医学类硕士研究生及以上学历（需双证），国外的学历学位需提供教育部留学服务中心的《国外学历学位认证书》，生源地不限。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上述人员中属于2020年应届毕业生的，须于2020年9月30日前取得招聘岗位所需的学历学位证书，留学人员须于报名前提供教育部留学服务中心国（境）外学历学位认证书。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仿宋_GB2312" w:hAnsi="宋体" w:eastAsia="仿宋_GB2312" w:cs="仿宋_GB2312"/>
          <w:sz w:val="32"/>
          <w:szCs w:val="32"/>
        </w:rPr>
      </w:pPr>
      <w:r>
        <w:rPr>
          <w:rFonts w:hint="eastAsia" w:ascii="Times New Roman" w:hAnsi="Calibri" w:eastAsia="仿宋_GB2312" w:cs="Times New Roman"/>
          <w:kern w:val="2"/>
          <w:sz w:val="32"/>
          <w:szCs w:val="32"/>
          <w:lang w:val="en-US" w:eastAsia="zh-CN" w:bidi="ar-SA"/>
        </w:rPr>
        <w:t>2.取得医学类副高及以上职称的，年龄可放宽至45周岁。</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ascii="仿宋_GB2312" w:hAnsi="宋体" w:eastAsia="仿宋_GB2312" w:cs="宋体"/>
          <w:b/>
          <w:bCs/>
          <w:color w:val="000000"/>
          <w:kern w:val="0"/>
          <w:sz w:val="32"/>
          <w:szCs w:val="32"/>
        </w:rPr>
      </w:pPr>
      <w:r>
        <w:rPr>
          <w:rFonts w:ascii="仿宋_GB2312" w:hAnsi="宋体" w:eastAsia="仿宋_GB2312" w:cs="宋体"/>
          <w:b/>
          <w:bCs/>
          <w:color w:val="000000"/>
          <w:kern w:val="0"/>
          <w:sz w:val="32"/>
          <w:szCs w:val="32"/>
        </w:rPr>
        <w:t>（</w:t>
      </w:r>
      <w:r>
        <w:rPr>
          <w:rFonts w:hint="eastAsia" w:ascii="Calibri" w:hAnsi="Calibri" w:eastAsia="楷体_GB2312" w:cs="Times New Roman"/>
          <w:b/>
          <w:sz w:val="32"/>
          <w:szCs w:val="32"/>
          <w:lang w:val="en-US" w:eastAsia="zh-CN"/>
        </w:rPr>
        <w:t>二）招聘条件</w:t>
      </w:r>
      <w:r>
        <w:rPr>
          <w:rFonts w:ascii="仿宋_GB2312" w:hAnsi="宋体" w:eastAsia="仿宋_GB2312" w:cs="宋体"/>
          <w:b/>
          <w:bCs/>
          <w:color w:val="000000"/>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1.遵守国家法律法规；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2.自愿履行医疗卫生岗位工作人员岗位职责，有良好的职业道德、服务意识和团结协作精神；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仿宋_GB2312" w:hAnsi="宋体" w:eastAsia="仿宋_GB2312" w:cs="宋体"/>
          <w:color w:val="000000"/>
          <w:kern w:val="0"/>
          <w:sz w:val="32"/>
          <w:szCs w:val="32"/>
        </w:rPr>
      </w:pPr>
      <w:r>
        <w:rPr>
          <w:rFonts w:hint="eastAsia" w:ascii="Times New Roman" w:hAnsi="Calibri" w:eastAsia="仿宋_GB2312" w:cs="Times New Roman"/>
          <w:kern w:val="2"/>
          <w:sz w:val="32"/>
          <w:szCs w:val="32"/>
          <w:lang w:val="en-US" w:eastAsia="zh-CN" w:bidi="ar-SA"/>
        </w:rPr>
        <w:t>3.工作积极主动，踏实肯干，责任心强；</w:t>
      </w:r>
      <w:r>
        <w:rPr>
          <w:rFonts w:ascii="仿宋_GB2312" w:hAnsi="宋体" w:eastAsia="仿宋_GB2312" w:cs="宋体"/>
          <w:color w:val="000000"/>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4.具备招考岗位所需的专业、学历学位要求,且本科所学专业与研究生所研究方向相符或相近;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5.身体健康。须符合《关于修订〈公务员录用体检通用标准（试行）〉及〈公务员录用体检操作手册（试行）〉有关内容的通知》（人社部发〔2016〕140号）；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6.年龄18至35周岁（1985年1月1日以后出生）；具有博士研究生学历（学位）或副高及以上职称人员，年龄可放宽到45周岁（1975年1月1日以后出生）以下。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仿宋_GB2312" w:hAnsi="宋体" w:eastAsia="仿宋_GB2312" w:cs="宋体"/>
          <w:color w:val="000000"/>
          <w:kern w:val="0"/>
          <w:sz w:val="32"/>
          <w:szCs w:val="32"/>
        </w:rPr>
      </w:pPr>
      <w:r>
        <w:rPr>
          <w:rFonts w:hint="eastAsia" w:ascii="Times New Roman" w:hAnsi="Calibri" w:eastAsia="仿宋_GB2312" w:cs="Times New Roman"/>
          <w:kern w:val="2"/>
          <w:sz w:val="32"/>
          <w:szCs w:val="32"/>
          <w:lang w:val="en-US" w:eastAsia="zh-CN" w:bidi="ar-SA"/>
        </w:rPr>
        <w:t>７.符合招考岗位需要的其他条件。</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三、招聘程序</w:t>
      </w:r>
    </w:p>
    <w:p>
      <w:pPr>
        <w:keepNext w:val="0"/>
        <w:keepLines w:val="0"/>
        <w:pageBreakBefore w:val="0"/>
        <w:kinsoku/>
        <w:overflowPunct/>
        <w:topLinePunct w:val="0"/>
        <w:autoSpaceDE/>
        <w:autoSpaceDN/>
        <w:bidi w:val="0"/>
        <w:adjustRightInd/>
        <w:snapToGrid/>
        <w:spacing w:line="600" w:lineRule="exact"/>
        <w:ind w:firstLine="642"/>
        <w:rPr>
          <w:rFonts w:ascii="仿宋_GB2312" w:hAnsi="Times New Roman" w:eastAsia="仿宋_GB2312" w:cs="仿宋_GB2312"/>
          <w:sz w:val="32"/>
          <w:szCs w:val="32"/>
        </w:rPr>
      </w:pPr>
      <w:r>
        <w:rPr>
          <w:rFonts w:hint="eastAsia" w:ascii="Times New Roman" w:hAnsi="Calibri" w:eastAsia="仿宋_GB2312" w:cs="Times New Roman"/>
          <w:kern w:val="2"/>
          <w:sz w:val="32"/>
          <w:szCs w:val="32"/>
          <w:lang w:val="en-US" w:eastAsia="zh-CN" w:bidi="ar-SA"/>
        </w:rPr>
        <w:t>贯彻公开、平等、竞争、择优原则，坚持德才兼备用人标准。按照发布公告、报名、择优遴选、体检、考察、公示、聘用等程序进行。</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hint="eastAsia" w:ascii="Calibri" w:hAnsi="Calibri" w:eastAsia="楷体_GB2312" w:cs="Times New Roman"/>
          <w:b/>
          <w:sz w:val="32"/>
          <w:szCs w:val="32"/>
          <w:lang w:val="en-US" w:eastAsia="zh-CN"/>
        </w:rPr>
      </w:pPr>
      <w:r>
        <w:rPr>
          <w:rFonts w:hint="eastAsia" w:ascii="Calibri" w:hAnsi="Calibri" w:eastAsia="楷体_GB2312" w:cs="Times New Roman"/>
          <w:b/>
          <w:sz w:val="32"/>
          <w:szCs w:val="32"/>
          <w:lang w:val="en-US" w:eastAsia="zh-CN"/>
        </w:rPr>
        <w:t>（一）发布公告</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宋体" w:eastAsia="仿宋_GB2312" w:cs="仿宋_GB2312"/>
          <w:sz w:val="32"/>
          <w:szCs w:val="32"/>
        </w:rPr>
      </w:pPr>
      <w:r>
        <w:rPr>
          <w:rFonts w:hint="eastAsia" w:ascii="Times New Roman" w:hAnsi="Calibri" w:eastAsia="仿宋_GB2312" w:cs="Times New Roman"/>
          <w:kern w:val="2"/>
          <w:sz w:val="32"/>
          <w:szCs w:val="32"/>
          <w:lang w:val="en-US" w:eastAsia="zh-CN" w:bidi="ar-SA"/>
        </w:rPr>
        <w:t>在南浔区政务信息网（http://www.nanxun.gov.cn）、南浔人力资源网（http://www.nxrz.com）发布公告。</w:t>
      </w:r>
    </w:p>
    <w:p>
      <w:pPr>
        <w:keepNext w:val="0"/>
        <w:keepLines w:val="0"/>
        <w:pageBreakBefore w:val="0"/>
        <w:widowControl/>
        <w:kinsoku/>
        <w:overflowPunct/>
        <w:topLinePunct w:val="0"/>
        <w:autoSpaceDE/>
        <w:autoSpaceDN/>
        <w:bidi w:val="0"/>
        <w:adjustRightInd/>
        <w:snapToGrid/>
        <w:spacing w:line="600" w:lineRule="exact"/>
        <w:ind w:firstLine="643" w:firstLineChars="200"/>
        <w:jc w:val="left"/>
        <w:rPr>
          <w:rFonts w:hint="eastAsia" w:ascii="Calibri" w:hAnsi="Calibri" w:eastAsia="楷体_GB2312" w:cs="Times New Roman"/>
          <w:b/>
          <w:sz w:val="32"/>
          <w:szCs w:val="32"/>
          <w:lang w:val="en-US" w:eastAsia="zh-CN"/>
        </w:rPr>
      </w:pPr>
      <w:r>
        <w:rPr>
          <w:rFonts w:hint="eastAsia" w:ascii="Calibri" w:hAnsi="Calibri" w:eastAsia="楷体_GB2312" w:cs="Times New Roman"/>
          <w:b/>
          <w:sz w:val="32"/>
          <w:szCs w:val="32"/>
          <w:lang w:val="en-US" w:eastAsia="zh-CN"/>
        </w:rPr>
        <w:t>（二）报名</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宋体" w:eastAsia="仿宋_GB2312" w:cs="仿宋_GB2312"/>
          <w:sz w:val="32"/>
          <w:szCs w:val="32"/>
        </w:rPr>
      </w:pPr>
      <w:r>
        <w:rPr>
          <w:rFonts w:hint="eastAsia" w:ascii="Times New Roman" w:hAnsi="Calibri" w:eastAsia="仿宋_GB2312" w:cs="Times New Roman"/>
          <w:kern w:val="2"/>
          <w:sz w:val="32"/>
          <w:szCs w:val="32"/>
          <w:lang w:val="en-US" w:eastAsia="zh-CN" w:bidi="ar-SA"/>
        </w:rPr>
        <w:t>采</w:t>
      </w:r>
      <w:r>
        <w:rPr>
          <w:rFonts w:hint="eastAsia" w:ascii="Times New Roman" w:hAnsi="Calibri" w:eastAsia="仿宋_GB2312" w:cs="Times New Roman"/>
          <w:kern w:val="2"/>
          <w:sz w:val="32"/>
          <w:szCs w:val="32"/>
          <w:lang w:val="en-US" w:eastAsia="zh-CN" w:bidi="ar-SA"/>
        </w:rPr>
        <w:t>用网上报名方式，报名时间为</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rPr>
        <w:t>公告发布之日至2020年4月10日下午16:00</w:t>
      </w:r>
      <w:r>
        <w:rPr>
          <w:rFonts w:hint="eastAsia" w:ascii="仿宋_GB2312" w:hAnsi="宋体" w:eastAsia="仿宋_GB2312" w:cs="仿宋_GB2312"/>
          <w:sz w:val="32"/>
          <w:szCs w:val="32"/>
        </w:rPr>
        <w:t>。</w:t>
      </w:r>
      <w:r>
        <w:rPr>
          <w:rFonts w:hint="eastAsia" w:ascii="Times New Roman" w:hAnsi="Calibri" w:eastAsia="仿宋_GB2312" w:cs="Times New Roman"/>
          <w:kern w:val="2"/>
          <w:sz w:val="32"/>
          <w:szCs w:val="32"/>
          <w:lang w:val="en-US" w:eastAsia="zh-CN" w:bidi="ar-SA"/>
        </w:rPr>
        <w:t>符合条件的人员下载并如实填写《湖州市南浔区医疗卫生单位高层次人才招聘报名表》（附件2），连同身份证、毕业证书、学位证书、资格证书等相关附件材料发送至报名邮箱：215801987@qq.com，邮件主题请注明：“湖州市南浔区2020年医疗卫生单位高层次人才招聘—XXX（单位）—XXX（岗位）—XXX（姓名）应聘资料”。每人限报一个岗位，逾期报名无效。报名结束后，由区卫生健康局和各医疗卫生单位工作人员对报名人员进行资格审查，确定报名成功人员，向报名成功人员发送《面试邀请函》。</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643" w:firstLineChars="200"/>
        <w:jc w:val="both"/>
        <w:rPr>
          <w:rFonts w:hint="default" w:ascii="Times New Roman" w:hAnsi="Calibri" w:eastAsia="仿宋_GB2312" w:cs="Times New Roman"/>
          <w:kern w:val="2"/>
          <w:sz w:val="32"/>
          <w:szCs w:val="32"/>
          <w:lang w:val="en-US" w:eastAsia="zh-CN" w:bidi="ar-SA"/>
        </w:rPr>
      </w:pPr>
      <w:r>
        <w:rPr>
          <w:rFonts w:ascii="仿宋_GB2312" w:eastAsia="仿宋_GB2312"/>
          <w:b/>
          <w:bCs/>
          <w:kern w:val="2"/>
          <w:sz w:val="32"/>
          <w:szCs w:val="32"/>
        </w:rPr>
        <w:t>1</w:t>
      </w:r>
      <w:r>
        <w:rPr>
          <w:rFonts w:hint="eastAsia" w:ascii="Calibri" w:hAnsi="Calibri" w:eastAsia="仿宋_GB2312" w:cs="Times New Roman"/>
          <w:b/>
          <w:kern w:val="2"/>
          <w:sz w:val="32"/>
          <w:szCs w:val="32"/>
          <w:lang w:val="en-US" w:eastAsia="zh-CN" w:bidi="ar-SA"/>
        </w:rPr>
        <w:t>、资格复审：</w:t>
      </w:r>
      <w:r>
        <w:rPr>
          <w:rFonts w:hint="eastAsia" w:ascii="Times New Roman" w:hAnsi="Calibri" w:eastAsia="仿宋_GB2312" w:cs="Times New Roman"/>
          <w:kern w:val="2"/>
          <w:sz w:val="32"/>
          <w:szCs w:val="32"/>
          <w:lang w:val="en-US" w:eastAsia="zh-CN" w:bidi="ar-SA"/>
        </w:rPr>
        <w:t>由区卫生健康局和各医疗卫生单位工作人员根据报名人员所提供的材料进行复审，报名人员需提供本人有效身份证、毕业证书、学位证书、报名登记表、资格证书等材料原件和复印件，未毕业硕（博）士需提供《就业推荐表》《普通高校毕业生就业协议书》（如无法提供，由本人出具书面证明），海外留学人员还应提供教育部中国留学服务中心出具的境外学历、学位认证书。</w:t>
      </w:r>
    </w:p>
    <w:p>
      <w:pPr>
        <w:keepNext w:val="0"/>
        <w:keepLines w:val="0"/>
        <w:pageBreakBefore w:val="0"/>
        <w:widowControl/>
        <w:kinsoku/>
        <w:overflowPunct/>
        <w:topLinePunct w:val="0"/>
        <w:autoSpaceDE/>
        <w:autoSpaceDN/>
        <w:bidi w:val="0"/>
        <w:adjustRightInd/>
        <w:snapToGrid/>
        <w:spacing w:line="600" w:lineRule="exact"/>
        <w:ind w:firstLine="640" w:firstLineChars="200"/>
        <w:rPr>
          <w:rFonts w:ascii="仿宋_GB2312" w:hAnsi="宋体" w:eastAsia="仿宋_GB2312" w:cs="仿宋_GB2312"/>
          <w:sz w:val="32"/>
          <w:szCs w:val="32"/>
        </w:rPr>
      </w:pPr>
      <w:r>
        <w:rPr>
          <w:rFonts w:hint="eastAsia" w:ascii="Times New Roman" w:hAnsi="Calibri" w:eastAsia="仿宋_GB2312" w:cs="Times New Roman"/>
          <w:kern w:val="2"/>
          <w:sz w:val="32"/>
          <w:szCs w:val="32"/>
          <w:lang w:val="en-US" w:eastAsia="zh-CN" w:bidi="ar-SA"/>
        </w:rPr>
        <w:t>报考人员提供的信息和材料必须真实完整且与网上报名信息一致，资格审查将贯穿公开招聘的全过程，如发现弄虚作假者立即取消考试或聘用资格。</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643" w:firstLineChars="200"/>
        <w:jc w:val="both"/>
        <w:rPr>
          <w:rFonts w:hint="default" w:ascii="Times New Roman" w:hAnsi="Calibri" w:eastAsia="仿宋_GB2312" w:cs="Times New Roman"/>
          <w:kern w:val="2"/>
          <w:sz w:val="32"/>
          <w:szCs w:val="32"/>
          <w:lang w:val="en-US" w:eastAsia="zh-CN" w:bidi="ar-SA"/>
        </w:rPr>
      </w:pPr>
      <w:r>
        <w:rPr>
          <w:rFonts w:ascii="仿宋_GB2312" w:eastAsia="仿宋_GB2312"/>
          <w:b/>
          <w:bCs/>
          <w:kern w:val="2"/>
          <w:sz w:val="32"/>
          <w:szCs w:val="32"/>
        </w:rPr>
        <w:t>2、面试：</w:t>
      </w:r>
      <w:r>
        <w:rPr>
          <w:rFonts w:hint="eastAsia" w:ascii="Times New Roman" w:hAnsi="Calibri" w:eastAsia="仿宋_GB2312" w:cs="Times New Roman"/>
          <w:kern w:val="2"/>
          <w:sz w:val="32"/>
          <w:szCs w:val="32"/>
          <w:lang w:val="en-US" w:eastAsia="zh-CN" w:bidi="ar-SA"/>
        </w:rPr>
        <w:t>面试采取结构化面试，满分为100分，设合格分数线为60分。面试成绩从高分到低分按照1：1确定体检人员。面试不合格者，不能列入体检、考察对象。</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640" w:firstLineChars="200"/>
        <w:jc w:val="both"/>
        <w:rPr>
          <w:rFonts w:hint="default" w:ascii="仿宋_GB2312" w:eastAsia="仿宋_GB2312"/>
          <w:kern w:val="2"/>
          <w:sz w:val="32"/>
          <w:szCs w:val="32"/>
        </w:rPr>
      </w:pPr>
      <w:r>
        <w:rPr>
          <w:rFonts w:hint="eastAsia" w:ascii="Times New Roman" w:hAnsi="Calibri" w:eastAsia="仿宋_GB2312" w:cs="Times New Roman"/>
          <w:kern w:val="2"/>
          <w:sz w:val="32"/>
          <w:szCs w:val="32"/>
          <w:lang w:val="en-US" w:eastAsia="zh-CN" w:bidi="ar-SA"/>
        </w:rPr>
        <w:t>面试具体时间、地点另行通知。</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482" w:firstLineChars="150"/>
        <w:jc w:val="both"/>
        <w:rPr>
          <w:rFonts w:hint="default" w:ascii="仿宋_GB2312" w:eastAsia="仿宋_GB2312"/>
          <w:b/>
          <w:bCs/>
          <w:kern w:val="2"/>
          <w:sz w:val="32"/>
          <w:szCs w:val="32"/>
        </w:rPr>
      </w:pPr>
      <w:r>
        <w:rPr>
          <w:rFonts w:ascii="仿宋_GB2312" w:eastAsia="仿宋_GB2312"/>
          <w:b/>
          <w:bCs/>
          <w:kern w:val="2"/>
          <w:sz w:val="32"/>
          <w:szCs w:val="32"/>
        </w:rPr>
        <w:t>（</w:t>
      </w:r>
      <w:r>
        <w:rPr>
          <w:rFonts w:hint="eastAsia" w:ascii="Calibri" w:hAnsi="Calibri" w:eastAsia="楷体_GB2312" w:cs="Times New Roman"/>
          <w:b/>
          <w:kern w:val="2"/>
          <w:sz w:val="32"/>
          <w:szCs w:val="32"/>
          <w:lang w:val="en-US" w:eastAsia="zh-CN" w:bidi="ar-SA"/>
        </w:rPr>
        <w:t>三）体检、考察</w:t>
      </w:r>
      <w:r>
        <w:rPr>
          <w:rFonts w:ascii="仿宋_GB2312" w:eastAsia="仿宋_GB2312"/>
          <w:b/>
          <w:bCs/>
          <w:kern w:val="2"/>
          <w:sz w:val="32"/>
          <w:szCs w:val="32"/>
        </w:rPr>
        <w:t xml:space="preserve"> </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640" w:firstLineChars="200"/>
        <w:jc w:val="both"/>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1、体检工作由区卫生健康局和各医疗卫生单位组织实施，费用由考生自理。体检标准参照人社部、国家卫计委、国家公务员局《关于修订〈公务员录用体检通用标准（试行）〉及〈公务员录用体检操作手册（试行）〉有关内容的通知》（人社部发〔2016〕140号）政策执行。</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640" w:firstLineChars="200"/>
        <w:jc w:val="both"/>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2、体检结束后，在体检合格人员中，从高分到低分按招聘职位人数1：1的比例确定考察对象。考察标准参照国家公务员局《关于做好公务员录用考察工作的通知》（国公局发〔2013〕2号）执行。</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640" w:firstLineChars="200"/>
        <w:jc w:val="both"/>
        <w:rPr>
          <w:rFonts w:hint="default" w:ascii="仿宋_GB2312" w:eastAsia="仿宋_GB2312"/>
          <w:kern w:val="2"/>
          <w:sz w:val="32"/>
          <w:szCs w:val="32"/>
        </w:rPr>
      </w:pPr>
      <w:r>
        <w:rPr>
          <w:rFonts w:hint="eastAsia" w:ascii="Times New Roman" w:hAnsi="Calibri" w:eastAsia="仿宋_GB2312" w:cs="Times New Roman"/>
          <w:kern w:val="2"/>
          <w:sz w:val="32"/>
          <w:szCs w:val="32"/>
          <w:lang w:val="en-US" w:eastAsia="zh-CN" w:bidi="ar-SA"/>
        </w:rPr>
        <w:t>3、经体检或考察不合格的，取消聘用资格。</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640" w:firstLineChars="200"/>
        <w:jc w:val="both"/>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4、在体检、考察、办理聘用阶段放弃或经体检、考察不合格，出现职位空缺的，可视情按招聘岗位面试成绩从高分到低分依次递补。</w:t>
      </w:r>
    </w:p>
    <w:p>
      <w:pPr>
        <w:pStyle w:val="6"/>
        <w:keepNext w:val="0"/>
        <w:keepLines w:val="0"/>
        <w:pageBreakBefore w:val="0"/>
        <w:kinsoku/>
        <w:overflowPunct/>
        <w:topLinePunct w:val="0"/>
        <w:autoSpaceDE/>
        <w:autoSpaceDN/>
        <w:bidi w:val="0"/>
        <w:adjustRightInd/>
        <w:snapToGrid/>
        <w:spacing w:beforeAutospacing="0" w:afterAutospacing="0" w:line="600" w:lineRule="exact"/>
        <w:jc w:val="both"/>
        <w:rPr>
          <w:rFonts w:hint="default" w:ascii="Calibri" w:hAnsi="Calibri" w:eastAsia="黑体" w:cs="Times New Roman"/>
          <w:kern w:val="2"/>
          <w:sz w:val="32"/>
          <w:szCs w:val="32"/>
          <w:lang w:val="en-US" w:eastAsia="zh-CN" w:bidi="ar-SA"/>
        </w:rPr>
      </w:pPr>
      <w:r>
        <w:rPr>
          <w:rFonts w:eastAsia="仿宋_GB2312"/>
          <w:kern w:val="2"/>
          <w:sz w:val="32"/>
          <w:szCs w:val="32"/>
        </w:rPr>
        <w:t>  </w:t>
      </w:r>
      <w:r>
        <w:rPr>
          <w:rFonts w:ascii="仿宋_GB2312" w:eastAsia="仿宋_GB2312" w:cs="仿宋_GB2312"/>
          <w:b/>
          <w:bCs/>
          <w:sz w:val="32"/>
          <w:szCs w:val="32"/>
        </w:rPr>
        <w:t>（</w:t>
      </w:r>
      <w:r>
        <w:rPr>
          <w:rFonts w:hint="eastAsia" w:ascii="Calibri" w:hAnsi="Calibri" w:eastAsia="楷体_GB2312" w:cs="Times New Roman"/>
          <w:b/>
          <w:kern w:val="2"/>
          <w:sz w:val="32"/>
          <w:szCs w:val="32"/>
          <w:lang w:val="en-US" w:eastAsia="zh-CN" w:bidi="ar-SA"/>
        </w:rPr>
        <w:t>四）公示、聘用</w:t>
      </w:r>
    </w:p>
    <w:p>
      <w:pPr>
        <w:pStyle w:val="6"/>
        <w:keepNext w:val="0"/>
        <w:keepLines w:val="0"/>
        <w:pageBreakBefore w:val="0"/>
        <w:kinsoku/>
        <w:overflowPunct/>
        <w:topLinePunct w:val="0"/>
        <w:autoSpaceDE/>
        <w:autoSpaceDN/>
        <w:bidi w:val="0"/>
        <w:adjustRightInd/>
        <w:snapToGrid/>
        <w:spacing w:beforeAutospacing="0" w:afterAutospacing="0" w:line="600" w:lineRule="exact"/>
        <w:ind w:firstLine="640" w:firstLineChars="200"/>
        <w:jc w:val="both"/>
        <w:rPr>
          <w:rFonts w:hint="default" w:ascii="仿宋_GB2312" w:eastAsia="仿宋_GB2312" w:cs="仿宋_GB2312"/>
          <w:sz w:val="32"/>
          <w:szCs w:val="32"/>
        </w:rPr>
      </w:pPr>
      <w:r>
        <w:rPr>
          <w:rFonts w:hint="eastAsia" w:ascii="Times New Roman" w:hAnsi="Calibri" w:eastAsia="仿宋_GB2312" w:cs="Times New Roman"/>
          <w:kern w:val="2"/>
          <w:sz w:val="32"/>
          <w:szCs w:val="32"/>
          <w:lang w:val="en-US" w:eastAsia="zh-CN" w:bidi="ar-SA"/>
        </w:rPr>
        <w:t>对体检、考察均合格的拟聘用人员在南浔区政务信息网、南浔人力资源网进行公示。公示期满，对拟聘用人员没有异议或反映有问题经查实不影响聘用的，按规定办理聘用手续。</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rPr>
          <w:rFonts w:hint="eastAsia"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四、其他</w:t>
      </w:r>
    </w:p>
    <w:p>
      <w:pPr>
        <w:keepNext w:val="0"/>
        <w:keepLines w:val="0"/>
        <w:pageBreakBefore w:val="0"/>
        <w:widowControl/>
        <w:kinsoku/>
        <w:overflowPunct/>
        <w:topLinePunct w:val="0"/>
        <w:autoSpaceDE/>
        <w:autoSpaceDN/>
        <w:bidi w:val="0"/>
        <w:adjustRightInd/>
        <w:snapToGrid/>
        <w:spacing w:line="600" w:lineRule="exact"/>
        <w:ind w:firstLine="560"/>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1、各类人才引进激励政策详见附件3。</w:t>
      </w:r>
    </w:p>
    <w:p>
      <w:pPr>
        <w:keepNext w:val="0"/>
        <w:keepLines w:val="0"/>
        <w:pageBreakBefore w:val="0"/>
        <w:widowControl/>
        <w:kinsoku/>
        <w:overflowPunct/>
        <w:topLinePunct w:val="0"/>
        <w:autoSpaceDE/>
        <w:autoSpaceDN/>
        <w:bidi w:val="0"/>
        <w:adjustRightInd/>
        <w:snapToGrid/>
        <w:spacing w:line="600" w:lineRule="exact"/>
        <w:ind w:firstLine="560"/>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2、对应邀来浔参加面谈面试的，按照路程远近给予最高1500元/人次的交通补助。</w:t>
      </w:r>
    </w:p>
    <w:p>
      <w:pPr>
        <w:keepNext w:val="0"/>
        <w:keepLines w:val="0"/>
        <w:pageBreakBefore w:val="0"/>
        <w:widowControl/>
        <w:kinsoku/>
        <w:overflowPunct/>
        <w:topLinePunct w:val="0"/>
        <w:autoSpaceDE/>
        <w:autoSpaceDN/>
        <w:bidi w:val="0"/>
        <w:adjustRightInd/>
        <w:snapToGrid/>
        <w:spacing w:line="600" w:lineRule="exact"/>
        <w:ind w:firstLine="560"/>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3、应聘人员在报名、资格复审等环节中提交的所有信息和材料应当真实、准确、有效。凡提供虚假信息和材料获取报考资格的，或故意隐瞒本人真实情况影响聘用的，一经查实，取消考试或聘用资格。</w:t>
      </w:r>
    </w:p>
    <w:p>
      <w:pPr>
        <w:pStyle w:val="6"/>
        <w:keepNext w:val="0"/>
        <w:keepLines w:val="0"/>
        <w:pageBreakBefore w:val="0"/>
        <w:shd w:val="clear" w:color="auto" w:fill="FFFFFF"/>
        <w:kinsoku/>
        <w:overflowPunct/>
        <w:topLinePunct w:val="0"/>
        <w:autoSpaceDE/>
        <w:autoSpaceDN/>
        <w:bidi w:val="0"/>
        <w:adjustRightInd/>
        <w:snapToGrid/>
        <w:spacing w:beforeAutospacing="0" w:afterAutospacing="0" w:line="600" w:lineRule="exact"/>
        <w:textAlignment w:val="baseline"/>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 xml:space="preserve">咨询服务电话：0572-3020672 </w:t>
      </w:r>
    </w:p>
    <w:p>
      <w:pPr>
        <w:pStyle w:val="6"/>
        <w:keepNext w:val="0"/>
        <w:keepLines w:val="0"/>
        <w:pageBreakBefore w:val="0"/>
        <w:shd w:val="clear" w:color="auto" w:fill="FFFFFF"/>
        <w:kinsoku/>
        <w:overflowPunct/>
        <w:topLinePunct w:val="0"/>
        <w:autoSpaceDE/>
        <w:autoSpaceDN/>
        <w:bidi w:val="0"/>
        <w:adjustRightInd/>
        <w:snapToGrid/>
        <w:spacing w:beforeAutospacing="0" w:afterAutospacing="0" w:line="600" w:lineRule="exact"/>
        <w:textAlignment w:val="baseline"/>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咨询服务时间：工作日上午9</w:t>
      </w:r>
      <w:r>
        <w:rPr>
          <w:rFonts w:hint="default" w:ascii="Times New Roman" w:hAnsi="Calibri" w:eastAsia="仿宋_GB2312" w:cs="Times New Roman"/>
          <w:kern w:val="2"/>
          <w:sz w:val="32"/>
          <w:szCs w:val="32"/>
          <w:lang w:val="en-US" w:eastAsia="zh-CN" w:bidi="ar-SA"/>
        </w:rPr>
        <w:t>:</w:t>
      </w:r>
      <w:r>
        <w:rPr>
          <w:rFonts w:hint="eastAsia" w:ascii="Times New Roman" w:hAnsi="Calibri" w:eastAsia="仿宋_GB2312" w:cs="Times New Roman"/>
          <w:kern w:val="2"/>
          <w:sz w:val="32"/>
          <w:szCs w:val="32"/>
          <w:lang w:val="en-US" w:eastAsia="zh-CN" w:bidi="ar-SA"/>
        </w:rPr>
        <w:t>0</w:t>
      </w:r>
      <w:r>
        <w:rPr>
          <w:rFonts w:hint="default" w:ascii="Times New Roman" w:hAnsi="Calibri" w:eastAsia="仿宋_GB2312" w:cs="Times New Roman"/>
          <w:kern w:val="2"/>
          <w:sz w:val="32"/>
          <w:szCs w:val="32"/>
          <w:lang w:val="en-US" w:eastAsia="zh-CN" w:bidi="ar-SA"/>
        </w:rPr>
        <w:t>0-11:30</w:t>
      </w:r>
    </w:p>
    <w:p>
      <w:pPr>
        <w:pStyle w:val="6"/>
        <w:keepNext w:val="0"/>
        <w:keepLines w:val="0"/>
        <w:pageBreakBefore w:val="0"/>
        <w:shd w:val="clear" w:color="auto" w:fill="FFFFFF"/>
        <w:kinsoku/>
        <w:overflowPunct/>
        <w:topLinePunct w:val="0"/>
        <w:autoSpaceDE/>
        <w:autoSpaceDN/>
        <w:bidi w:val="0"/>
        <w:adjustRightInd/>
        <w:snapToGrid/>
        <w:spacing w:beforeAutospacing="0" w:afterAutospacing="0" w:line="600" w:lineRule="exact"/>
        <w:ind w:firstLine="3200" w:firstLineChars="1000"/>
        <w:textAlignment w:val="baseline"/>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下午</w:t>
      </w:r>
      <w:r>
        <w:rPr>
          <w:rFonts w:hint="default" w:ascii="Times New Roman" w:hAnsi="Calibri" w:eastAsia="仿宋_GB2312" w:cs="Times New Roman"/>
          <w:kern w:val="2"/>
          <w:sz w:val="32"/>
          <w:szCs w:val="32"/>
          <w:lang w:val="en-US" w:eastAsia="zh-CN" w:bidi="ar-SA"/>
        </w:rPr>
        <w:t>1</w:t>
      </w:r>
      <w:r>
        <w:rPr>
          <w:rFonts w:hint="eastAsia" w:ascii="Times New Roman" w:hAnsi="Calibri" w:eastAsia="仿宋_GB2312" w:cs="Times New Roman"/>
          <w:kern w:val="2"/>
          <w:sz w:val="32"/>
          <w:szCs w:val="32"/>
          <w:lang w:val="en-US" w:eastAsia="zh-CN" w:bidi="ar-SA"/>
        </w:rPr>
        <w:t>4</w:t>
      </w:r>
      <w:r>
        <w:rPr>
          <w:rFonts w:hint="default" w:ascii="Times New Roman" w:hAnsi="Calibri" w:eastAsia="仿宋_GB2312" w:cs="Times New Roman"/>
          <w:kern w:val="2"/>
          <w:sz w:val="32"/>
          <w:szCs w:val="32"/>
          <w:lang w:val="en-US" w:eastAsia="zh-CN" w:bidi="ar-SA"/>
        </w:rPr>
        <w:t>:</w:t>
      </w:r>
      <w:r>
        <w:rPr>
          <w:rFonts w:hint="eastAsia" w:ascii="Times New Roman" w:hAnsi="Calibri" w:eastAsia="仿宋_GB2312" w:cs="Times New Roman"/>
          <w:kern w:val="2"/>
          <w:sz w:val="32"/>
          <w:szCs w:val="32"/>
          <w:lang w:val="en-US" w:eastAsia="zh-CN" w:bidi="ar-SA"/>
        </w:rPr>
        <w:t>0</w:t>
      </w:r>
      <w:r>
        <w:rPr>
          <w:rFonts w:hint="default" w:ascii="Times New Roman" w:hAnsi="Calibri" w:eastAsia="仿宋_GB2312" w:cs="Times New Roman"/>
          <w:kern w:val="2"/>
          <w:sz w:val="32"/>
          <w:szCs w:val="32"/>
          <w:lang w:val="en-US" w:eastAsia="zh-CN" w:bidi="ar-SA"/>
        </w:rPr>
        <w:t>0-1</w:t>
      </w:r>
      <w:r>
        <w:rPr>
          <w:rFonts w:hint="eastAsia" w:ascii="Times New Roman" w:hAnsi="Calibri" w:eastAsia="仿宋_GB2312" w:cs="Times New Roman"/>
          <w:kern w:val="2"/>
          <w:sz w:val="32"/>
          <w:szCs w:val="32"/>
          <w:lang w:val="en-US" w:eastAsia="zh-CN" w:bidi="ar-SA"/>
        </w:rPr>
        <w:t>6</w:t>
      </w:r>
      <w:r>
        <w:rPr>
          <w:rFonts w:hint="default" w:ascii="Times New Roman" w:hAnsi="Calibri" w:eastAsia="仿宋_GB2312" w:cs="Times New Roman"/>
          <w:kern w:val="2"/>
          <w:sz w:val="32"/>
          <w:szCs w:val="32"/>
          <w:lang w:val="en-US" w:eastAsia="zh-CN" w:bidi="ar-SA"/>
        </w:rPr>
        <w:t>:</w:t>
      </w:r>
      <w:r>
        <w:rPr>
          <w:rFonts w:hint="eastAsia" w:ascii="Times New Roman" w:hAnsi="Calibri" w:eastAsia="仿宋_GB2312" w:cs="Times New Roman"/>
          <w:kern w:val="2"/>
          <w:sz w:val="32"/>
          <w:szCs w:val="32"/>
          <w:lang w:val="en-US" w:eastAsia="zh-CN" w:bidi="ar-SA"/>
        </w:rPr>
        <w:t>0</w:t>
      </w:r>
      <w:r>
        <w:rPr>
          <w:rFonts w:hint="default" w:ascii="Times New Roman" w:hAnsi="Calibri" w:eastAsia="仿宋_GB2312" w:cs="Times New Roman"/>
          <w:kern w:val="2"/>
          <w:sz w:val="32"/>
          <w:szCs w:val="32"/>
          <w:lang w:val="en-US" w:eastAsia="zh-CN" w:bidi="ar-SA"/>
        </w:rPr>
        <w:t>0</w:t>
      </w:r>
    </w:p>
    <w:p>
      <w:pPr>
        <w:pStyle w:val="6"/>
        <w:keepNext w:val="0"/>
        <w:keepLines w:val="0"/>
        <w:pageBreakBefore w:val="0"/>
        <w:shd w:val="clear" w:color="auto" w:fill="FFFFFF"/>
        <w:kinsoku/>
        <w:overflowPunct/>
        <w:topLinePunct w:val="0"/>
        <w:autoSpaceDE/>
        <w:autoSpaceDN/>
        <w:bidi w:val="0"/>
        <w:adjustRightInd/>
        <w:snapToGrid/>
        <w:spacing w:beforeAutospacing="0" w:afterAutospacing="0" w:line="600" w:lineRule="exact"/>
        <w:textAlignment w:val="baseline"/>
        <w:rPr>
          <w:rFonts w:hint="default"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监督举报电话：</w:t>
      </w:r>
      <w:r>
        <w:rPr>
          <w:rFonts w:hint="default" w:ascii="Times New Roman" w:hAnsi="Calibri" w:eastAsia="仿宋_GB2312" w:cs="Times New Roman"/>
          <w:kern w:val="2"/>
          <w:sz w:val="32"/>
          <w:szCs w:val="32"/>
          <w:lang w:val="en-US" w:eastAsia="zh-CN" w:bidi="ar-SA"/>
        </w:rPr>
        <w:t>057</w:t>
      </w:r>
      <w:r>
        <w:rPr>
          <w:rFonts w:hint="eastAsia" w:ascii="Times New Roman" w:hAnsi="Calibri" w:eastAsia="仿宋_GB2312" w:cs="Times New Roman"/>
          <w:kern w:val="2"/>
          <w:sz w:val="32"/>
          <w:szCs w:val="32"/>
          <w:lang w:val="en-US" w:eastAsia="zh-CN" w:bidi="ar-SA"/>
        </w:rPr>
        <w:t>2</w:t>
      </w:r>
      <w:r>
        <w:rPr>
          <w:rFonts w:hint="default" w:ascii="Times New Roman" w:hAnsi="Calibri" w:eastAsia="仿宋_GB2312" w:cs="Times New Roman"/>
          <w:kern w:val="2"/>
          <w:sz w:val="32"/>
          <w:szCs w:val="32"/>
          <w:lang w:val="en-US" w:eastAsia="zh-CN" w:bidi="ar-SA"/>
        </w:rPr>
        <w:t>-</w:t>
      </w:r>
      <w:r>
        <w:rPr>
          <w:rFonts w:hint="eastAsia" w:ascii="Times New Roman" w:hAnsi="Calibri" w:eastAsia="仿宋_GB2312" w:cs="Times New Roman"/>
          <w:kern w:val="2"/>
          <w:sz w:val="32"/>
          <w:szCs w:val="32"/>
          <w:lang w:val="en-US" w:eastAsia="zh-CN" w:bidi="ar-SA"/>
        </w:rPr>
        <w:t>3090575</w:t>
      </w:r>
    </w:p>
    <w:p>
      <w:pPr>
        <w:keepNext w:val="0"/>
        <w:keepLines w:val="0"/>
        <w:pageBreakBefore w:val="0"/>
        <w:kinsoku/>
        <w:overflowPunct/>
        <w:topLinePunct w:val="0"/>
        <w:autoSpaceDE/>
        <w:autoSpaceDN/>
        <w:bidi w:val="0"/>
        <w:adjustRightInd/>
        <w:snapToGrid/>
        <w:spacing w:line="600" w:lineRule="exact"/>
        <w:ind w:left="1920" w:hanging="1920" w:hangingChars="6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附件1：湖州市南浔区2020年上半年医疗卫生单位急需紧缺</w:t>
      </w:r>
    </w:p>
    <w:p>
      <w:pPr>
        <w:keepNext w:val="0"/>
        <w:keepLines w:val="0"/>
        <w:pageBreakBefore w:val="0"/>
        <w:kinsoku/>
        <w:overflowPunct/>
        <w:topLinePunct w:val="0"/>
        <w:autoSpaceDE/>
        <w:autoSpaceDN/>
        <w:bidi w:val="0"/>
        <w:adjustRightInd/>
        <w:snapToGrid/>
        <w:spacing w:line="600" w:lineRule="exact"/>
        <w:ind w:left="1917" w:leftChars="608" w:hanging="640" w:hangingChars="2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卫生高层次人才招聘计划表</w:t>
      </w:r>
    </w:p>
    <w:p>
      <w:pPr>
        <w:keepNext w:val="0"/>
        <w:keepLines w:val="0"/>
        <w:pageBreakBefore w:val="0"/>
        <w:kinsoku/>
        <w:overflowPunct/>
        <w:topLinePunct w:val="0"/>
        <w:autoSpaceDE/>
        <w:autoSpaceDN/>
        <w:bidi w:val="0"/>
        <w:adjustRightInd/>
        <w:snapToGrid/>
        <w:spacing w:line="600" w:lineRule="exact"/>
        <w:ind w:left="1280" w:hanging="1280" w:hangingChars="400"/>
        <w:jc w:val="left"/>
        <w:rPr>
          <w:rFonts w:hint="eastAsia" w:ascii="Times New Roman" w:hAnsi="Calibri" w:eastAsia="仿宋_GB2312" w:cs="Times New Roman"/>
          <w:kern w:val="2"/>
          <w:sz w:val="32"/>
          <w:szCs w:val="32"/>
          <w:lang w:val="en-US" w:eastAsia="zh-CN" w:bidi="ar-SA"/>
        </w:rPr>
      </w:pPr>
      <w:r>
        <w:rPr>
          <w:rFonts w:hint="eastAsia" w:ascii="Times New Roman" w:hAnsi="Calibri" w:eastAsia="仿宋_GB2312" w:cs="Times New Roman"/>
          <w:kern w:val="2"/>
          <w:sz w:val="32"/>
          <w:szCs w:val="32"/>
          <w:lang w:val="en-US" w:eastAsia="zh-CN" w:bidi="ar-SA"/>
        </w:rPr>
        <w:t>附件2：湖州市南浔区医疗卫生单位高层次人才招聘报名表</w:t>
      </w:r>
    </w:p>
    <w:p>
      <w:pPr>
        <w:keepNext w:val="0"/>
        <w:keepLines w:val="0"/>
        <w:pageBreakBefore w:val="0"/>
        <w:kinsoku/>
        <w:overflowPunct/>
        <w:topLinePunct w:val="0"/>
        <w:autoSpaceDE/>
        <w:autoSpaceDN/>
        <w:bidi w:val="0"/>
        <w:adjustRightInd/>
        <w:snapToGrid/>
        <w:spacing w:line="600" w:lineRule="exact"/>
        <w:jc w:val="left"/>
      </w:pPr>
      <w:r>
        <w:rPr>
          <w:rFonts w:hint="eastAsia" w:ascii="Times New Roman" w:hAnsi="Calibri" w:eastAsia="仿宋_GB2312" w:cs="Times New Roman"/>
          <w:kern w:val="2"/>
          <w:sz w:val="32"/>
          <w:szCs w:val="32"/>
          <w:lang w:val="en-US" w:eastAsia="zh-CN" w:bidi="ar-SA"/>
        </w:rPr>
        <w:t>附件3：南浔区高层次卫技人才激励政策简介</w:t>
      </w:r>
    </w:p>
    <w:p>
      <w:pPr>
        <w:keepNext w:val="0"/>
        <w:keepLines w:val="0"/>
        <w:pageBreakBefore w:val="0"/>
        <w:kinsoku/>
        <w:overflowPunct/>
        <w:topLinePunct w:val="0"/>
        <w:autoSpaceDE/>
        <w:autoSpaceDN/>
        <w:bidi w:val="0"/>
        <w:adjustRightInd/>
        <w:snapToGrid/>
        <w:spacing w:line="600" w:lineRule="exact"/>
        <w:jc w:val="left"/>
        <w:rPr>
          <w:rFonts w:ascii="仿宋_GB2312" w:hAnsi="宋体" w:eastAsia="仿宋_GB2312" w:cs="宋体"/>
          <w:kern w:val="0"/>
          <w:sz w:val="32"/>
          <w:szCs w:val="32"/>
        </w:rPr>
      </w:pPr>
    </w:p>
    <w:p>
      <w:pPr>
        <w:keepNext w:val="0"/>
        <w:keepLines w:val="0"/>
        <w:pageBreakBefore w:val="0"/>
        <w:kinsoku/>
        <w:overflowPunct/>
        <w:topLinePunct w:val="0"/>
        <w:autoSpaceDE/>
        <w:autoSpaceDN/>
        <w:bidi w:val="0"/>
        <w:adjustRightInd/>
        <w:snapToGrid/>
        <w:spacing w:line="600" w:lineRule="exact"/>
        <w:ind w:firstLine="3840" w:firstLineChars="1200"/>
        <w:jc w:val="left"/>
        <w:rPr>
          <w:rFonts w:ascii="仿宋_GB2312" w:hAnsi="宋体" w:eastAsia="仿宋_GB2312" w:cs="宋体"/>
          <w:kern w:val="0"/>
          <w:sz w:val="28"/>
          <w:szCs w:val="28"/>
        </w:rPr>
      </w:pPr>
      <w:r>
        <w:rPr>
          <w:rFonts w:hint="eastAsia" w:ascii="仿宋_GB2312" w:hAnsi="宋体" w:eastAsia="仿宋_GB2312" w:cs="宋体"/>
          <w:kern w:val="0"/>
          <w:sz w:val="32"/>
          <w:szCs w:val="32"/>
        </w:rPr>
        <w:t xml:space="preserve"> 湖州市南浔区卫生健康局  </w:t>
      </w:r>
    </w:p>
    <w:p>
      <w:pPr>
        <w:keepNext w:val="0"/>
        <w:keepLines w:val="0"/>
        <w:pageBreakBefore w:val="0"/>
        <w:kinsoku/>
        <w:overflowPunct/>
        <w:topLinePunct w:val="0"/>
        <w:autoSpaceDE/>
        <w:autoSpaceDN/>
        <w:bidi w:val="0"/>
        <w:adjustRightInd/>
        <w:snapToGrid/>
        <w:spacing w:line="600" w:lineRule="exact"/>
        <w:ind w:firstLine="1120" w:firstLineChars="400"/>
        <w:jc w:val="left"/>
        <w:rPr>
          <w:rFonts w:ascii="仿宋_GB2312" w:hAnsi="宋体" w:eastAsia="仿宋_GB2312" w:cs="宋体"/>
          <w:kern w:val="0"/>
          <w:sz w:val="32"/>
          <w:szCs w:val="32"/>
        </w:rPr>
      </w:pP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32"/>
          <w:szCs w:val="32"/>
        </w:rPr>
        <w:t>2020年2月25日</w:t>
      </w:r>
    </w:p>
    <w:p>
      <w:pPr>
        <w:widowControl/>
        <w:jc w:val="left"/>
        <w:rPr>
          <w:rFonts w:ascii="宋体" w:hAnsi="宋体" w:cs="宋体"/>
          <w:color w:val="000000"/>
          <w:kern w:val="0"/>
          <w:sz w:val="22"/>
          <w:szCs w:val="22"/>
        </w:rPr>
      </w:pPr>
    </w:p>
    <w:p>
      <w:pPr>
        <w:pStyle w:val="2"/>
        <w:sectPr>
          <w:footerReference r:id="rId3" w:type="default"/>
          <w:pgSz w:w="11906" w:h="16838"/>
          <w:pgMar w:top="1701" w:right="1644" w:bottom="1701" w:left="1644" w:header="851" w:footer="992" w:gutter="0"/>
          <w:cols w:space="425" w:num="1"/>
          <w:docGrid w:type="lines" w:linePitch="312" w:charSpace="0"/>
        </w:sectPr>
      </w:pPr>
    </w:p>
    <w:tbl>
      <w:tblPr>
        <w:tblStyle w:val="7"/>
        <w:tblW w:w="13714" w:type="dxa"/>
        <w:jc w:val="center"/>
        <w:tblLayout w:type="autofit"/>
        <w:tblCellMar>
          <w:top w:w="0" w:type="dxa"/>
          <w:left w:w="108" w:type="dxa"/>
          <w:bottom w:w="0" w:type="dxa"/>
          <w:right w:w="108" w:type="dxa"/>
        </w:tblCellMar>
      </w:tblPr>
      <w:tblGrid>
        <w:gridCol w:w="734"/>
        <w:gridCol w:w="2020"/>
        <w:gridCol w:w="660"/>
        <w:gridCol w:w="1260"/>
        <w:gridCol w:w="1280"/>
        <w:gridCol w:w="2380"/>
        <w:gridCol w:w="820"/>
        <w:gridCol w:w="456"/>
        <w:gridCol w:w="2001"/>
        <w:gridCol w:w="338"/>
        <w:gridCol w:w="1112"/>
        <w:gridCol w:w="653"/>
      </w:tblGrid>
      <w:tr>
        <w:tblPrEx>
          <w:tblCellMar>
            <w:top w:w="0" w:type="dxa"/>
            <w:left w:w="108" w:type="dxa"/>
            <w:bottom w:w="0" w:type="dxa"/>
            <w:right w:w="108" w:type="dxa"/>
          </w:tblCellMar>
        </w:tblPrEx>
        <w:trPr>
          <w:trHeight w:val="270" w:hRule="atLeast"/>
          <w:jc w:val="center"/>
        </w:trPr>
        <w:tc>
          <w:tcPr>
            <w:tcW w:w="734" w:type="dxa"/>
            <w:tcBorders>
              <w:top w:val="nil"/>
              <w:left w:val="nil"/>
              <w:bottom w:val="nil"/>
              <w:right w:val="nil"/>
            </w:tcBorders>
            <w:shd w:val="clear" w:color="auto" w:fill="auto"/>
            <w:noWrap/>
            <w:vAlign w:val="center"/>
          </w:tcPr>
          <w:p>
            <w:pPr>
              <w:widowControl/>
              <w:spacing w:line="260" w:lineRule="exact"/>
              <w:jc w:val="left"/>
              <w:rPr>
                <w:rFonts w:ascii="宋体" w:hAnsi="宋体" w:cs="宋体"/>
                <w:color w:val="000000"/>
                <w:kern w:val="0"/>
                <w:szCs w:val="21"/>
              </w:rPr>
            </w:pPr>
          </w:p>
        </w:tc>
        <w:tc>
          <w:tcPr>
            <w:tcW w:w="2020" w:type="dxa"/>
            <w:tcBorders>
              <w:top w:val="nil"/>
              <w:left w:val="nil"/>
              <w:bottom w:val="nil"/>
              <w:right w:val="nil"/>
            </w:tcBorders>
            <w:shd w:val="clear" w:color="auto" w:fill="auto"/>
            <w:noWrap/>
            <w:vAlign w:val="center"/>
          </w:tcPr>
          <w:p>
            <w:pPr>
              <w:widowControl/>
              <w:spacing w:line="260" w:lineRule="exact"/>
              <w:jc w:val="left"/>
              <w:rPr>
                <w:rFonts w:ascii="宋体" w:hAnsi="宋体" w:cs="宋体"/>
                <w:color w:val="000000"/>
                <w:kern w:val="0"/>
                <w:szCs w:val="21"/>
              </w:rPr>
            </w:pPr>
          </w:p>
        </w:tc>
        <w:tc>
          <w:tcPr>
            <w:tcW w:w="660" w:type="dxa"/>
            <w:tcBorders>
              <w:top w:val="nil"/>
              <w:left w:val="nil"/>
              <w:bottom w:val="nil"/>
              <w:right w:val="nil"/>
            </w:tcBorders>
            <w:shd w:val="clear" w:color="auto" w:fill="auto"/>
            <w:noWrap/>
            <w:vAlign w:val="center"/>
          </w:tcPr>
          <w:p>
            <w:pPr>
              <w:widowControl/>
              <w:spacing w:line="260" w:lineRule="exact"/>
              <w:jc w:val="left"/>
              <w:rPr>
                <w:rFonts w:ascii="宋体" w:hAnsi="宋体" w:cs="宋体"/>
                <w:color w:val="000000"/>
                <w:kern w:val="0"/>
                <w:szCs w:val="21"/>
              </w:rPr>
            </w:pPr>
          </w:p>
        </w:tc>
        <w:tc>
          <w:tcPr>
            <w:tcW w:w="1260" w:type="dxa"/>
            <w:tcBorders>
              <w:top w:val="nil"/>
              <w:left w:val="nil"/>
              <w:bottom w:val="nil"/>
              <w:right w:val="nil"/>
            </w:tcBorders>
            <w:shd w:val="clear" w:color="auto" w:fill="auto"/>
            <w:noWrap/>
            <w:vAlign w:val="center"/>
          </w:tcPr>
          <w:p>
            <w:pPr>
              <w:widowControl/>
              <w:spacing w:line="260" w:lineRule="exact"/>
              <w:jc w:val="left"/>
              <w:rPr>
                <w:rFonts w:ascii="宋体" w:hAnsi="宋体" w:cs="宋体"/>
                <w:color w:val="000000"/>
                <w:kern w:val="0"/>
                <w:szCs w:val="21"/>
              </w:rPr>
            </w:pPr>
          </w:p>
        </w:tc>
        <w:tc>
          <w:tcPr>
            <w:tcW w:w="1280" w:type="dxa"/>
            <w:tcBorders>
              <w:top w:val="nil"/>
              <w:left w:val="nil"/>
              <w:bottom w:val="nil"/>
              <w:right w:val="nil"/>
            </w:tcBorders>
            <w:shd w:val="clear" w:color="auto" w:fill="auto"/>
            <w:noWrap/>
            <w:vAlign w:val="center"/>
          </w:tcPr>
          <w:p>
            <w:pPr>
              <w:widowControl/>
              <w:spacing w:line="260" w:lineRule="exact"/>
              <w:jc w:val="left"/>
              <w:rPr>
                <w:rFonts w:ascii="宋体" w:hAnsi="宋体" w:cs="宋体"/>
                <w:color w:val="000000"/>
                <w:kern w:val="0"/>
                <w:szCs w:val="21"/>
              </w:rPr>
            </w:pPr>
          </w:p>
        </w:tc>
        <w:tc>
          <w:tcPr>
            <w:tcW w:w="3200" w:type="dxa"/>
            <w:gridSpan w:val="2"/>
            <w:tcBorders>
              <w:top w:val="nil"/>
              <w:left w:val="nil"/>
              <w:bottom w:val="nil"/>
              <w:right w:val="nil"/>
            </w:tcBorders>
            <w:shd w:val="clear" w:color="auto" w:fill="auto"/>
            <w:noWrap/>
            <w:vAlign w:val="center"/>
          </w:tcPr>
          <w:p>
            <w:pPr>
              <w:widowControl/>
              <w:spacing w:line="260" w:lineRule="exact"/>
              <w:jc w:val="left"/>
              <w:rPr>
                <w:rFonts w:ascii="宋体" w:hAnsi="宋体" w:cs="宋体"/>
                <w:color w:val="000000"/>
                <w:kern w:val="0"/>
                <w:szCs w:val="21"/>
              </w:rPr>
            </w:pPr>
          </w:p>
        </w:tc>
        <w:tc>
          <w:tcPr>
            <w:tcW w:w="2795" w:type="dxa"/>
            <w:gridSpan w:val="3"/>
            <w:tcBorders>
              <w:top w:val="nil"/>
              <w:left w:val="nil"/>
              <w:bottom w:val="nil"/>
              <w:right w:val="nil"/>
            </w:tcBorders>
            <w:shd w:val="clear" w:color="auto" w:fill="auto"/>
            <w:noWrap/>
            <w:vAlign w:val="center"/>
          </w:tcPr>
          <w:p>
            <w:pPr>
              <w:widowControl/>
              <w:spacing w:line="260" w:lineRule="exact"/>
              <w:jc w:val="left"/>
              <w:rPr>
                <w:rFonts w:ascii="宋体" w:hAnsi="宋体" w:cs="宋体"/>
                <w:color w:val="000000"/>
                <w:kern w:val="0"/>
                <w:szCs w:val="21"/>
              </w:rPr>
            </w:pPr>
          </w:p>
        </w:tc>
        <w:tc>
          <w:tcPr>
            <w:tcW w:w="1112" w:type="dxa"/>
            <w:tcBorders>
              <w:top w:val="nil"/>
              <w:left w:val="nil"/>
              <w:bottom w:val="nil"/>
              <w:right w:val="nil"/>
            </w:tcBorders>
            <w:shd w:val="clear" w:color="auto" w:fill="auto"/>
            <w:vAlign w:val="center"/>
          </w:tcPr>
          <w:p>
            <w:pPr>
              <w:widowControl/>
              <w:spacing w:line="260" w:lineRule="exact"/>
              <w:jc w:val="left"/>
              <w:rPr>
                <w:rFonts w:ascii="宋体" w:hAnsi="宋体" w:cs="宋体"/>
                <w:color w:val="000000"/>
                <w:kern w:val="0"/>
                <w:szCs w:val="21"/>
              </w:rPr>
            </w:pPr>
          </w:p>
        </w:tc>
        <w:tc>
          <w:tcPr>
            <w:tcW w:w="653" w:type="dxa"/>
            <w:tcBorders>
              <w:top w:val="nil"/>
              <w:left w:val="nil"/>
              <w:bottom w:val="nil"/>
              <w:right w:val="nil"/>
            </w:tcBorders>
            <w:shd w:val="clear" w:color="auto" w:fill="auto"/>
            <w:noWrap/>
            <w:vAlign w:val="center"/>
          </w:tcPr>
          <w:p>
            <w:pPr>
              <w:widowControl/>
              <w:spacing w:line="260" w:lineRule="exact"/>
              <w:jc w:val="left"/>
              <w:rPr>
                <w:rFonts w:ascii="宋体" w:hAnsi="宋体" w:cs="宋体"/>
                <w:color w:val="000000"/>
                <w:kern w:val="0"/>
                <w:szCs w:val="21"/>
              </w:rPr>
            </w:pPr>
          </w:p>
        </w:tc>
      </w:tr>
      <w:tr>
        <w:tblPrEx>
          <w:tblCellMar>
            <w:top w:w="0" w:type="dxa"/>
            <w:left w:w="108" w:type="dxa"/>
            <w:bottom w:w="0" w:type="dxa"/>
            <w:right w:w="108" w:type="dxa"/>
          </w:tblCellMar>
        </w:tblPrEx>
        <w:trPr>
          <w:gridAfter w:val="1"/>
          <w:wAfter w:w="653" w:type="dxa"/>
          <w:trHeight w:val="465" w:hRule="atLeast"/>
          <w:jc w:val="center"/>
        </w:trPr>
        <w:tc>
          <w:tcPr>
            <w:tcW w:w="13061" w:type="dxa"/>
            <w:gridSpan w:val="11"/>
            <w:tcBorders>
              <w:top w:val="nil"/>
              <w:left w:val="nil"/>
              <w:bottom w:val="nil"/>
              <w:right w:val="nil"/>
            </w:tcBorders>
            <w:shd w:val="clear" w:color="auto" w:fill="auto"/>
            <w:vAlign w:val="center"/>
          </w:tcPr>
          <w:p>
            <w:pPr>
              <w:widowControl/>
              <w:spacing w:line="260" w:lineRule="exact"/>
              <w:jc w:val="left"/>
              <w:rPr>
                <w:rFonts w:ascii="仿宋_GB2312" w:hAnsi="黑体" w:eastAsia="仿宋_GB2312" w:cs="宋体"/>
                <w:color w:val="000000"/>
                <w:kern w:val="0"/>
                <w:sz w:val="28"/>
                <w:szCs w:val="28"/>
              </w:rPr>
            </w:pPr>
            <w:r>
              <w:rPr>
                <w:rFonts w:hint="eastAsia" w:ascii="仿宋_GB2312" w:hAnsi="黑体" w:eastAsia="仿宋_GB2312" w:cs="宋体"/>
                <w:color w:val="000000"/>
                <w:kern w:val="0"/>
                <w:sz w:val="28"/>
                <w:szCs w:val="28"/>
              </w:rPr>
              <w:t>附件1：</w:t>
            </w:r>
          </w:p>
          <w:p>
            <w:pPr>
              <w:widowControl/>
              <w:spacing w:line="360" w:lineRule="exact"/>
              <w:jc w:val="center"/>
              <w:rPr>
                <w:rFonts w:ascii="黑体" w:hAnsi="黑体" w:eastAsia="黑体" w:cs="宋体"/>
                <w:b/>
                <w:color w:val="000000"/>
                <w:kern w:val="0"/>
                <w:sz w:val="32"/>
                <w:szCs w:val="32"/>
              </w:rPr>
            </w:pPr>
            <w:r>
              <w:rPr>
                <w:rFonts w:hint="eastAsia" w:ascii="黑体" w:hAnsi="黑体" w:eastAsia="黑体" w:cs="宋体"/>
                <w:b/>
                <w:color w:val="000000"/>
                <w:kern w:val="0"/>
                <w:sz w:val="32"/>
                <w:szCs w:val="32"/>
              </w:rPr>
              <w:t>湖州市南浔区2020年上半年医疗卫生单位急需紧缺卫生高层次人才招聘计划表</w:t>
            </w:r>
          </w:p>
        </w:tc>
      </w:tr>
      <w:tr>
        <w:tblPrEx>
          <w:tblCellMar>
            <w:top w:w="0" w:type="dxa"/>
            <w:left w:w="108" w:type="dxa"/>
            <w:bottom w:w="0" w:type="dxa"/>
            <w:right w:w="108" w:type="dxa"/>
          </w:tblCellMar>
        </w:tblPrEx>
        <w:trPr>
          <w:gridAfter w:val="1"/>
          <w:wAfter w:w="653" w:type="dxa"/>
          <w:trHeight w:val="51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b/>
                <w:bCs/>
                <w:color w:val="000000"/>
                <w:kern w:val="0"/>
                <w:szCs w:val="21"/>
              </w:rPr>
            </w:pPr>
            <w:r>
              <w:rPr>
                <w:rFonts w:hint="eastAsia" w:ascii="宋体" w:hAnsi="宋体"/>
                <w:b/>
                <w:bCs/>
                <w:color w:val="000000"/>
                <w:kern w:val="0"/>
                <w:szCs w:val="21"/>
              </w:rPr>
              <w:t>主管单位</w:t>
            </w:r>
            <w:r>
              <w:rPr>
                <w:rFonts w:ascii="Times New Roman" w:hAnsi="Times New Roman"/>
                <w:b/>
                <w:bCs/>
                <w:color w:val="000000"/>
                <w:kern w:val="0"/>
                <w:szCs w:val="21"/>
              </w:rPr>
              <w:t>/</w:t>
            </w:r>
            <w:r>
              <w:rPr>
                <w:rFonts w:hint="eastAsia" w:ascii="宋体" w:hAnsi="宋体"/>
                <w:b/>
                <w:bCs/>
                <w:color w:val="000000"/>
                <w:kern w:val="0"/>
                <w:szCs w:val="21"/>
              </w:rPr>
              <w:t>区域</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b/>
                <w:bCs/>
                <w:color w:val="000000"/>
                <w:kern w:val="0"/>
                <w:szCs w:val="21"/>
              </w:rPr>
            </w:pPr>
            <w:r>
              <w:rPr>
                <w:rFonts w:hint="eastAsia" w:ascii="宋体" w:hAnsi="宋体"/>
                <w:b/>
                <w:bCs/>
                <w:color w:val="000000"/>
                <w:kern w:val="0"/>
                <w:szCs w:val="21"/>
              </w:rPr>
              <w:t>招聘单位</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b/>
                <w:bCs/>
                <w:color w:val="000000"/>
                <w:kern w:val="0"/>
                <w:szCs w:val="21"/>
              </w:rPr>
            </w:pPr>
            <w:r>
              <w:rPr>
                <w:rFonts w:hint="eastAsia" w:ascii="宋体" w:hAnsi="宋体"/>
                <w:b/>
                <w:bCs/>
                <w:color w:val="000000"/>
                <w:kern w:val="0"/>
                <w:szCs w:val="21"/>
              </w:rPr>
              <w:t>招聘人数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b/>
                <w:bCs/>
                <w:color w:val="000000"/>
                <w:kern w:val="0"/>
                <w:szCs w:val="21"/>
              </w:rPr>
            </w:pPr>
            <w:r>
              <w:rPr>
                <w:rFonts w:hint="eastAsia" w:ascii="宋体" w:hAnsi="宋体"/>
                <w:b/>
                <w:bCs/>
                <w:color w:val="000000"/>
                <w:kern w:val="0"/>
                <w:szCs w:val="21"/>
              </w:rPr>
              <w:t>招聘岗位</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b/>
                <w:bCs/>
                <w:color w:val="000000"/>
                <w:kern w:val="0"/>
                <w:szCs w:val="21"/>
              </w:rPr>
            </w:pPr>
            <w:r>
              <w:rPr>
                <w:rFonts w:hint="eastAsia" w:ascii="宋体" w:hAnsi="宋体"/>
                <w:b/>
                <w:bCs/>
                <w:color w:val="000000"/>
                <w:kern w:val="0"/>
                <w:szCs w:val="21"/>
              </w:rPr>
              <w:t>学历要求</w:t>
            </w:r>
          </w:p>
        </w:tc>
        <w:tc>
          <w:tcPr>
            <w:tcW w:w="238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b/>
                <w:bCs/>
                <w:color w:val="000000"/>
                <w:kern w:val="0"/>
                <w:szCs w:val="21"/>
              </w:rPr>
            </w:pPr>
            <w:r>
              <w:rPr>
                <w:rFonts w:hint="eastAsia" w:ascii="宋体" w:hAnsi="宋体"/>
                <w:b/>
                <w:bCs/>
                <w:color w:val="000000"/>
                <w:kern w:val="0"/>
                <w:szCs w:val="21"/>
              </w:rPr>
              <w:t>专业要求</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b/>
                <w:bCs/>
                <w:color w:val="000000"/>
                <w:kern w:val="0"/>
                <w:szCs w:val="21"/>
              </w:rPr>
            </w:pPr>
            <w:r>
              <w:rPr>
                <w:rFonts w:hint="eastAsia" w:ascii="宋体" w:hAnsi="宋体"/>
                <w:b/>
                <w:bCs/>
                <w:color w:val="000000"/>
                <w:kern w:val="0"/>
                <w:szCs w:val="21"/>
              </w:rPr>
              <w:t>联系人</w:t>
            </w:r>
          </w:p>
        </w:tc>
        <w:tc>
          <w:tcPr>
            <w:tcW w:w="2001"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bCs/>
                <w:color w:val="000000"/>
                <w:kern w:val="0"/>
                <w:szCs w:val="21"/>
              </w:rPr>
            </w:pPr>
            <w:r>
              <w:rPr>
                <w:rFonts w:hint="eastAsia" w:ascii="宋体" w:hAnsi="宋体" w:cs="宋体"/>
                <w:b/>
                <w:bCs/>
                <w:color w:val="000000"/>
                <w:kern w:val="0"/>
                <w:szCs w:val="21"/>
              </w:rPr>
              <w:t>联系电话及邮箱</w:t>
            </w:r>
          </w:p>
        </w:tc>
        <w:tc>
          <w:tcPr>
            <w:tcW w:w="14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bCs/>
                <w:color w:val="000000"/>
                <w:kern w:val="0"/>
                <w:szCs w:val="21"/>
              </w:rPr>
            </w:pPr>
            <w:r>
              <w:rPr>
                <w:rFonts w:hint="eastAsia" w:ascii="宋体" w:hAnsi="宋体" w:cs="宋体"/>
                <w:b/>
                <w:bCs/>
                <w:color w:val="000000"/>
                <w:kern w:val="0"/>
                <w:szCs w:val="21"/>
              </w:rPr>
              <w:t>其他要求</w:t>
            </w: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南浔区卫生健康局</w:t>
            </w: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湖州市南浔区双林人民医院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外科医生</w:t>
            </w:r>
          </w:p>
        </w:tc>
        <w:tc>
          <w:tcPr>
            <w:tcW w:w="1280" w:type="dxa"/>
            <w:tcBorders>
              <w:top w:val="nil"/>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外科学</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沈培英</w:t>
            </w:r>
          </w:p>
        </w:tc>
        <w:tc>
          <w:tcPr>
            <w:tcW w:w="2001" w:type="dxa"/>
            <w:vMerge w:val="restart"/>
            <w:tcBorders>
              <w:top w:val="nil"/>
              <w:left w:val="single" w:color="auto" w:sz="4" w:space="0"/>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fldChar w:fldCharType="begin"/>
            </w:r>
            <w:r>
              <w:instrText xml:space="preserve"> HYPERLINK "mailto:0572-3992603nxqrlzyzx@126.com" </w:instrText>
            </w:r>
            <w:r>
              <w:fldChar w:fldCharType="separate"/>
            </w:r>
            <w:r>
              <w:rPr>
                <w:rFonts w:hint="eastAsia" w:ascii="仿宋_GB2312" w:hAnsi="宋体" w:eastAsia="仿宋_GB2312" w:cs="宋体"/>
                <w:color w:val="000000"/>
                <w:kern w:val="0"/>
                <w:szCs w:val="21"/>
              </w:rPr>
              <w:t>0572-3992603 nxqrlzyzx@126.com</w:t>
            </w:r>
            <w:r>
              <w:rPr>
                <w:rFonts w:hint="eastAsia" w:ascii="仿宋_GB2312" w:hAnsi="宋体" w:eastAsia="仿宋_GB2312" w:cs="宋体"/>
                <w:color w:val="000000"/>
                <w:kern w:val="0"/>
                <w:szCs w:val="21"/>
              </w:rPr>
              <w:fldChar w:fldCharType="end"/>
            </w:r>
          </w:p>
        </w:tc>
        <w:tc>
          <w:tcPr>
            <w:tcW w:w="145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要求为专业型，并取得规培证</w:t>
            </w: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湖州市南浔区双林人民医院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内科医生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内科学</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nil"/>
              <w:left w:val="single" w:color="auto" w:sz="4" w:space="0"/>
              <w:bottom w:val="nil"/>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湖州市南浔区双林人民医院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中医医生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中医内科学</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nil"/>
              <w:left w:val="single" w:color="auto" w:sz="4" w:space="0"/>
              <w:bottom w:val="nil"/>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湖州市南浔区菱湖人民医院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内科学</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陈振华</w:t>
            </w:r>
          </w:p>
        </w:tc>
        <w:tc>
          <w:tcPr>
            <w:tcW w:w="20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13587216001    32622439@qq.com</w:t>
            </w:r>
          </w:p>
        </w:tc>
        <w:tc>
          <w:tcPr>
            <w:tcW w:w="145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要求为专业型，并取得规培证</w:t>
            </w: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湖州市南浔区菱湖人民医院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外科学</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湖州市南浔区菱湖人民医院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妇产科学</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湖州市南浔区菱湖人民医院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外科学(骨科专业方向）</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湖州市南浔区菱湖人民医院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临床医生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儿科学</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27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湖州市南浔区中医院</w:t>
            </w:r>
          </w:p>
        </w:tc>
        <w:tc>
          <w:tcPr>
            <w:tcW w:w="660" w:type="dxa"/>
            <w:tcBorders>
              <w:top w:val="nil"/>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骨科医生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外科学、中医骨伤科学</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杨明</w:t>
            </w:r>
          </w:p>
        </w:tc>
        <w:tc>
          <w:tcPr>
            <w:tcW w:w="200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0572-3912179  80482892@qq.com</w:t>
            </w:r>
          </w:p>
        </w:tc>
        <w:tc>
          <w:tcPr>
            <w:tcW w:w="1450" w:type="dxa"/>
            <w:gridSpan w:val="2"/>
            <w:tcBorders>
              <w:top w:val="nil"/>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要求为专业型</w:t>
            </w: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湖州市南浔区中医院</w:t>
            </w:r>
          </w:p>
        </w:tc>
        <w:tc>
          <w:tcPr>
            <w:tcW w:w="66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6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外科学、中医外科学、中西医结合临床</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要求为专业型</w:t>
            </w: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湖州市南浔区中医院</w:t>
            </w:r>
          </w:p>
        </w:tc>
        <w:tc>
          <w:tcPr>
            <w:tcW w:w="66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五官科医生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眼科学、耳鼻咽喉科学、中医五官科学</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要求为专业型</w:t>
            </w:r>
          </w:p>
        </w:tc>
      </w:tr>
      <w:tr>
        <w:tblPrEx>
          <w:tblCellMar>
            <w:top w:w="0" w:type="dxa"/>
            <w:left w:w="108" w:type="dxa"/>
            <w:bottom w:w="0" w:type="dxa"/>
            <w:right w:w="108" w:type="dxa"/>
          </w:tblCellMar>
        </w:tblPrEx>
        <w:trPr>
          <w:gridAfter w:val="1"/>
          <w:wAfter w:w="653" w:type="dxa"/>
          <w:trHeight w:val="27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pict>
                <v:line id="_x0000_s2050" o:spid="_x0000_s2050" o:spt="20" style="position:absolute;left:0pt;margin-left:-5.2pt;margin-top:25.95pt;height:0.05pt;width:380.65pt;z-index:251658240;mso-width-relative:page;mso-height-relative:page;" filled="t" coordsize="21600,21600">
                  <v:path arrowok="t"/>
                  <v:fill on="t" focussize="0,0"/>
                  <v:stroke/>
                  <v:imagedata o:title=""/>
                  <o:lock v:ext="edit"/>
                </v:line>
              </w:pict>
            </w:r>
            <w:r>
              <w:rPr>
                <w:rFonts w:hint="eastAsia" w:ascii="仿宋_GB2312" w:hAnsi="宋体" w:eastAsia="仿宋_GB2312" w:cs="宋体"/>
                <w:color w:val="000000"/>
                <w:kern w:val="0"/>
                <w:szCs w:val="21"/>
              </w:rPr>
              <w:t>湖州市南浔区中医院</w:t>
            </w:r>
          </w:p>
        </w:tc>
        <w:tc>
          <w:tcPr>
            <w:tcW w:w="66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妇科医生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妇产科学、中医妇科学</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pict>
                <v:line id="_x0000_s2051" o:spid="_x0000_s2051" o:spt="20" style="position:absolute;left:0pt;flip:y;margin-left:-4.65pt;margin-top:25.35pt;height:0.6pt;width:72.5pt;z-index:251659264;mso-width-relative:page;mso-height-relative:page;" filled="t" coordsize="21600,21600">
                  <v:path arrowok="t"/>
                  <v:fill on="t" focussize="0,0"/>
                  <v:stroke/>
                  <v:imagedata o:title=""/>
                  <o:lock v:ext="edit"/>
                </v:line>
              </w:pict>
            </w:r>
            <w:r>
              <w:rPr>
                <w:rFonts w:hint="eastAsia" w:ascii="仿宋_GB2312" w:hAnsi="宋体" w:eastAsia="仿宋_GB2312" w:cs="宋体"/>
                <w:color w:val="000000"/>
                <w:kern w:val="0"/>
                <w:szCs w:val="21"/>
              </w:rPr>
              <w:t>要求为专业型</w:t>
            </w: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pict>
                <v:line id="_x0000_s2052" o:spid="_x0000_s2052" o:spt="20" style="position:absolute;left:0pt;margin-left:-41.45pt;margin-top:-0.3pt;height:0.05pt;width:37.5pt;z-index:251660288;mso-width-relative:page;mso-height-relative:page;" filled="t" coordsize="21600,21600">
                  <v:path arrowok="t"/>
                  <v:fill on="t" focussize="0,0"/>
                  <v:stroke/>
                  <v:imagedata o:title=""/>
                  <o:lock v:ext="edit"/>
                </v:line>
              </w:pict>
            </w:r>
            <w:r>
              <w:rPr>
                <w:rFonts w:hint="eastAsia" w:ascii="仿宋_GB2312" w:hAnsi="宋体" w:eastAsia="仿宋_GB2312" w:cs="宋体"/>
                <w:color w:val="000000"/>
                <w:kern w:val="0"/>
                <w:szCs w:val="21"/>
              </w:rPr>
              <w:t>湖州市南浔区练市人民医院</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外科学</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pict>
                <v:line id="_x0000_s2053" o:spid="_x0000_s2053" o:spt="20" style="position:absolute;left:0pt;margin-left:-3.95pt;margin-top:-0.3pt;height:0.05pt;width:163.75pt;z-index:251661312;mso-width-relative:page;mso-height-relative:page;" filled="t" coordsize="21600,21600">
                  <v:path arrowok="t"/>
                  <v:fill on="t" focussize="0,0"/>
                  <v:stroke/>
                  <v:imagedata o:title=""/>
                  <o:lock v:ext="edit"/>
                </v:line>
              </w:pict>
            </w:r>
            <w:r>
              <w:rPr>
                <w:rFonts w:hint="eastAsia" w:ascii="仿宋_GB2312" w:hAnsi="宋体" w:eastAsia="仿宋_GB2312" w:cs="宋体"/>
                <w:color w:val="000000"/>
                <w:kern w:val="0"/>
                <w:szCs w:val="21"/>
              </w:rPr>
              <w:t>徐小英</w:t>
            </w:r>
          </w:p>
        </w:tc>
        <w:tc>
          <w:tcPr>
            <w:tcW w:w="2001" w:type="dxa"/>
            <w:vMerge w:val="restart"/>
            <w:tcBorders>
              <w:top w:val="nil"/>
              <w:left w:val="single" w:color="auto" w:sz="4" w:space="0"/>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0572-3065770 nxqrlzyzx@126.com</w:t>
            </w:r>
          </w:p>
        </w:tc>
        <w:tc>
          <w:tcPr>
            <w:tcW w:w="1450" w:type="dxa"/>
            <w:gridSpan w:val="2"/>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要求为专业型，并取得规培证</w:t>
            </w: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湖州市南浔区练市人民医院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中医科医生</w:t>
            </w:r>
          </w:p>
        </w:tc>
        <w:tc>
          <w:tcPr>
            <w:tcW w:w="1280" w:type="dxa"/>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中医外科学、中医儿科学、中医骨伤科学</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nil"/>
              <w:left w:val="single" w:color="auto" w:sz="4" w:space="0"/>
              <w:bottom w:val="nil"/>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tcBorders>
              <w:top w:val="single" w:color="auto" w:sz="4" w:space="0"/>
              <w:left w:val="nil"/>
              <w:bottom w:val="nil"/>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要求为专业型，并取得规培证</w:t>
            </w:r>
          </w:p>
        </w:tc>
      </w:tr>
      <w:tr>
        <w:tblPrEx>
          <w:tblCellMar>
            <w:top w:w="0" w:type="dxa"/>
            <w:left w:w="108" w:type="dxa"/>
            <w:bottom w:w="0" w:type="dxa"/>
            <w:right w:w="108" w:type="dxa"/>
          </w:tblCellMar>
        </w:tblPrEx>
        <w:trPr>
          <w:gridAfter w:val="1"/>
          <w:wAfter w:w="653" w:type="dxa"/>
          <w:trHeight w:val="619"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内科医生</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博士研究生</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内科学</w:t>
            </w:r>
          </w:p>
        </w:tc>
        <w:tc>
          <w:tcPr>
            <w:tcW w:w="127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沈晓军</w:t>
            </w:r>
          </w:p>
        </w:tc>
        <w:tc>
          <w:tcPr>
            <w:tcW w:w="2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13819206003 nxqrlzyzx@126.com</w:t>
            </w:r>
          </w:p>
        </w:tc>
        <w:tc>
          <w:tcPr>
            <w:tcW w:w="145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要求为专业型，并取得规培证；具有二级甲等及以上医院工作经历、副高及以上职称的社会人员学历本科及以上</w:t>
            </w:r>
          </w:p>
        </w:tc>
      </w:tr>
      <w:tr>
        <w:tblPrEx>
          <w:tblCellMar>
            <w:top w:w="0" w:type="dxa"/>
            <w:left w:w="108" w:type="dxa"/>
            <w:bottom w:w="0" w:type="dxa"/>
            <w:right w:w="108" w:type="dxa"/>
          </w:tblCellMar>
        </w:tblPrEx>
        <w:trPr>
          <w:gridAfter w:val="1"/>
          <w:wAfter w:w="653" w:type="dxa"/>
          <w:trHeight w:val="60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外科医生</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博士研究生</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外科学</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619"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内科医生</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内科学、中西医结合临床</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外科医生</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外科学、中西医结合临床</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儿科医生 </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儿科学</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急诊科医生</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急诊医学</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超声介入医生</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影像医学与核医学</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放射科医生</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影像医学与核医学</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眼科医生</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眼科学</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480" w:hRule="atLeast"/>
          <w:jc w:val="center"/>
        </w:trPr>
        <w:tc>
          <w:tcPr>
            <w:tcW w:w="7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2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湖州市南浔区人民医院</w:t>
            </w:r>
          </w:p>
        </w:tc>
        <w:tc>
          <w:tcPr>
            <w:tcW w:w="6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2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五官科医生</w:t>
            </w:r>
          </w:p>
        </w:tc>
        <w:tc>
          <w:tcPr>
            <w:tcW w:w="12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硕研及以上</w:t>
            </w:r>
          </w:p>
        </w:tc>
        <w:tc>
          <w:tcPr>
            <w:tcW w:w="23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耳鼻咽喉科学</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c>
          <w:tcPr>
            <w:tcW w:w="145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6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gridAfter w:val="1"/>
          <w:wAfter w:w="653" w:type="dxa"/>
          <w:trHeight w:val="360" w:hRule="atLeast"/>
          <w:jc w:val="center"/>
        </w:trPr>
        <w:tc>
          <w:tcPr>
            <w:tcW w:w="734"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　</w:t>
            </w:r>
          </w:p>
        </w:tc>
        <w:tc>
          <w:tcPr>
            <w:tcW w:w="202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合计</w:t>
            </w:r>
          </w:p>
        </w:tc>
        <w:tc>
          <w:tcPr>
            <w:tcW w:w="6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30</w:t>
            </w:r>
          </w:p>
        </w:tc>
        <w:tc>
          <w:tcPr>
            <w:tcW w:w="1260" w:type="dxa"/>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80" w:type="dxa"/>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　</w:t>
            </w:r>
          </w:p>
        </w:tc>
        <w:tc>
          <w:tcPr>
            <w:tcW w:w="2380" w:type="dxa"/>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gridSpan w:val="2"/>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　</w:t>
            </w:r>
          </w:p>
        </w:tc>
        <w:tc>
          <w:tcPr>
            <w:tcW w:w="2001"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450" w:type="dxa"/>
            <w:gridSpan w:val="2"/>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　</w:t>
            </w:r>
          </w:p>
        </w:tc>
      </w:tr>
    </w:tbl>
    <w:p>
      <w:pPr>
        <w:pStyle w:val="2"/>
        <w:sectPr>
          <w:pgSz w:w="16838" w:h="11906" w:orient="landscape"/>
          <w:pgMar w:top="1800" w:right="1440" w:bottom="1800" w:left="1440" w:header="851" w:footer="992" w:gutter="0"/>
          <w:cols w:space="425" w:num="1"/>
          <w:docGrid w:type="lines" w:linePitch="312" w:charSpace="0"/>
        </w:sectPr>
      </w:pPr>
    </w:p>
    <w:p>
      <w:pPr>
        <w:spacing w:after="100" w:afterAutospacing="1" w:line="400" w:lineRule="exact"/>
        <w:jc w:val="left"/>
        <w:rPr>
          <w:rFonts w:ascii="仿宋_GB2312" w:eastAsia="仿宋_GB2312" w:cs="黑体" w:hAnsiTheme="minorEastAsia"/>
          <w:bCs/>
          <w:sz w:val="28"/>
          <w:szCs w:val="28"/>
        </w:rPr>
      </w:pPr>
      <w:r>
        <w:rPr>
          <w:rFonts w:hint="eastAsia" w:ascii="仿宋_GB2312" w:eastAsia="仿宋_GB2312" w:cs="黑体" w:hAnsiTheme="minorEastAsia"/>
          <w:bCs/>
          <w:sz w:val="28"/>
          <w:szCs w:val="28"/>
        </w:rPr>
        <w:t>附件2：</w:t>
      </w:r>
    </w:p>
    <w:p>
      <w:pPr>
        <w:spacing w:line="400" w:lineRule="exact"/>
        <w:jc w:val="center"/>
        <w:rPr>
          <w:b/>
          <w:bCs/>
          <w:kern w:val="0"/>
          <w:sz w:val="28"/>
          <w:szCs w:val="30"/>
        </w:rPr>
      </w:pPr>
      <w:r>
        <w:rPr>
          <w:rFonts w:hint="eastAsia" w:ascii="黑体" w:hAnsi="黑体" w:eastAsia="黑体" w:cs="黑体"/>
          <w:b/>
          <w:bCs/>
          <w:sz w:val="32"/>
          <w:szCs w:val="36"/>
        </w:rPr>
        <w:t>湖州市南浔区医疗卫生单位高层次人才招聘报名表</w:t>
      </w:r>
    </w:p>
    <w:tbl>
      <w:tblPr>
        <w:tblStyle w:val="7"/>
        <w:tblpPr w:leftFromText="180" w:rightFromText="180" w:vertAnchor="text" w:horzAnchor="margin" w:tblpXSpec="center" w:tblpY="526"/>
        <w:tblW w:w="0" w:type="auto"/>
        <w:tblInd w:w="0" w:type="dxa"/>
        <w:tblLayout w:type="fixed"/>
        <w:tblCellMar>
          <w:top w:w="0" w:type="dxa"/>
          <w:left w:w="108" w:type="dxa"/>
          <w:bottom w:w="0" w:type="dxa"/>
          <w:right w:w="108" w:type="dxa"/>
        </w:tblCellMar>
      </w:tblPr>
      <w:tblGrid>
        <w:gridCol w:w="1300"/>
        <w:gridCol w:w="155"/>
        <w:gridCol w:w="540"/>
        <w:gridCol w:w="340"/>
        <w:gridCol w:w="545"/>
        <w:gridCol w:w="540"/>
        <w:gridCol w:w="315"/>
        <w:gridCol w:w="585"/>
        <w:gridCol w:w="195"/>
        <w:gridCol w:w="135"/>
        <w:gridCol w:w="905"/>
        <w:gridCol w:w="180"/>
        <w:gridCol w:w="580"/>
        <w:gridCol w:w="131"/>
        <w:gridCol w:w="260"/>
        <w:gridCol w:w="877"/>
        <w:gridCol w:w="454"/>
        <w:gridCol w:w="153"/>
        <w:gridCol w:w="810"/>
        <w:gridCol w:w="720"/>
      </w:tblGrid>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招聘职位</w:t>
            </w:r>
          </w:p>
        </w:tc>
        <w:tc>
          <w:tcPr>
            <w:tcW w:w="6283" w:type="dxa"/>
            <w:gridSpan w:val="1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137"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二</w:t>
            </w:r>
            <w:r>
              <w:rPr>
                <w:kern w:val="0"/>
                <w:szCs w:val="21"/>
              </w:rPr>
              <w:t xml:space="preserve">                    </w:t>
            </w:r>
            <w:r>
              <w:rPr>
                <w:rFonts w:hint="eastAsia" w:ascii="宋体" w:hAnsi="宋体" w:cs="宋体"/>
                <w:kern w:val="0"/>
                <w:szCs w:val="21"/>
              </w:rPr>
              <w:t>寸</w:t>
            </w:r>
            <w:r>
              <w:rPr>
                <w:kern w:val="0"/>
                <w:szCs w:val="21"/>
              </w:rPr>
              <w:t xml:space="preserve">                       </w:t>
            </w:r>
            <w:r>
              <w:rPr>
                <w:rFonts w:hint="eastAsia" w:ascii="宋体" w:hAnsi="宋体" w:cs="宋体"/>
                <w:kern w:val="0"/>
                <w:szCs w:val="21"/>
              </w:rPr>
              <w:t>近</w:t>
            </w:r>
            <w:r>
              <w:rPr>
                <w:kern w:val="0"/>
                <w:szCs w:val="21"/>
              </w:rPr>
              <w:t xml:space="preserve">                     </w:t>
            </w:r>
            <w:r>
              <w:rPr>
                <w:rFonts w:hint="eastAsia" w:ascii="宋体" w:hAnsi="宋体" w:cs="宋体"/>
                <w:kern w:val="0"/>
                <w:szCs w:val="21"/>
              </w:rPr>
              <w:t>照</w:t>
            </w: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姓</w:t>
            </w:r>
            <w:r>
              <w:rPr>
                <w:kern w:val="0"/>
                <w:szCs w:val="21"/>
              </w:rPr>
              <w:t xml:space="preserve">   </w:t>
            </w:r>
            <w:r>
              <w:rPr>
                <w:rFonts w:hint="eastAsia" w:ascii="宋体" w:hAnsi="宋体" w:cs="宋体"/>
                <w:kern w:val="0"/>
                <w:szCs w:val="21"/>
              </w:rPr>
              <w:t>名</w:t>
            </w:r>
          </w:p>
        </w:tc>
        <w:tc>
          <w:tcPr>
            <w:tcW w:w="103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p>
        </w:tc>
        <w:tc>
          <w:tcPr>
            <w:tcW w:w="108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身份</w:t>
            </w:r>
          </w:p>
          <w:p>
            <w:pPr>
              <w:widowControl/>
              <w:spacing w:line="240" w:lineRule="exact"/>
              <w:jc w:val="center"/>
              <w:rPr>
                <w:rFonts w:ascii="宋体" w:hAnsi="宋体" w:cs="宋体"/>
                <w:kern w:val="0"/>
                <w:szCs w:val="21"/>
              </w:rPr>
            </w:pPr>
            <w:r>
              <w:rPr>
                <w:rFonts w:hint="eastAsia" w:ascii="宋体" w:hAnsi="宋体" w:cs="宋体"/>
                <w:kern w:val="0"/>
                <w:szCs w:val="21"/>
              </w:rPr>
              <w:t>证号</w:t>
            </w:r>
          </w:p>
        </w:tc>
        <w:tc>
          <w:tcPr>
            <w:tcW w:w="4163" w:type="dxa"/>
            <w:gridSpan w:val="10"/>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137" w:type="dxa"/>
            <w:gridSpan w:val="4"/>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性</w:t>
            </w:r>
            <w:r>
              <w:rPr>
                <w:kern w:val="0"/>
                <w:szCs w:val="21"/>
              </w:rPr>
              <w:t xml:space="preserve">   </w:t>
            </w:r>
            <w:r>
              <w:rPr>
                <w:rFonts w:hint="eastAsia" w:ascii="宋体" w:hAnsi="宋体" w:cs="宋体"/>
                <w:kern w:val="0"/>
                <w:szCs w:val="21"/>
              </w:rPr>
              <w:t>别</w:t>
            </w:r>
          </w:p>
        </w:tc>
        <w:tc>
          <w:tcPr>
            <w:tcW w:w="103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p>
        </w:tc>
        <w:tc>
          <w:tcPr>
            <w:tcW w:w="1085" w:type="dxa"/>
            <w:gridSpan w:val="2"/>
            <w:tcBorders>
              <w:top w:val="nil"/>
              <w:left w:val="nil"/>
              <w:bottom w:val="single" w:color="auto" w:sz="4" w:space="0"/>
              <w:right w:val="single" w:color="000000"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民族</w:t>
            </w:r>
          </w:p>
        </w:tc>
        <w:tc>
          <w:tcPr>
            <w:tcW w:w="90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p>
        </w:tc>
        <w:tc>
          <w:tcPr>
            <w:tcW w:w="1415"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1848"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p>
        </w:tc>
        <w:tc>
          <w:tcPr>
            <w:tcW w:w="2137" w:type="dxa"/>
            <w:gridSpan w:val="4"/>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籍   贯</w:t>
            </w:r>
          </w:p>
        </w:tc>
        <w:tc>
          <w:tcPr>
            <w:tcW w:w="2120"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ascii="宋体" w:hAnsi="宋体" w:cs="宋体"/>
                <w:kern w:val="0"/>
                <w:szCs w:val="21"/>
              </w:rPr>
            </w:pPr>
          </w:p>
        </w:tc>
        <w:tc>
          <w:tcPr>
            <w:tcW w:w="900" w:type="dxa"/>
            <w:gridSpan w:val="2"/>
            <w:tcBorders>
              <w:top w:val="single" w:color="auto" w:sz="4" w:space="0"/>
              <w:left w:val="nil"/>
              <w:bottom w:val="single" w:color="auto" w:sz="4" w:space="0"/>
              <w:right w:val="single" w:color="000000"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政治</w:t>
            </w:r>
          </w:p>
          <w:p>
            <w:pPr>
              <w:widowControl/>
              <w:jc w:val="center"/>
              <w:rPr>
                <w:rFonts w:ascii="宋体" w:hAnsi="宋体" w:cs="宋体"/>
                <w:kern w:val="0"/>
                <w:szCs w:val="21"/>
              </w:rPr>
            </w:pPr>
            <w:r>
              <w:rPr>
                <w:rFonts w:hint="eastAsia" w:ascii="宋体" w:hAnsi="宋体" w:cs="宋体"/>
                <w:kern w:val="0"/>
                <w:szCs w:val="21"/>
              </w:rPr>
              <w:t>面貌</w:t>
            </w:r>
          </w:p>
        </w:tc>
        <w:tc>
          <w:tcPr>
            <w:tcW w:w="3263"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p>
        </w:tc>
        <w:tc>
          <w:tcPr>
            <w:tcW w:w="2137" w:type="dxa"/>
            <w:gridSpan w:val="4"/>
            <w:vMerge w:val="continue"/>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计算机水平</w:t>
            </w:r>
          </w:p>
        </w:tc>
        <w:tc>
          <w:tcPr>
            <w:tcW w:w="3020"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p>
        </w:tc>
        <w:tc>
          <w:tcPr>
            <w:tcW w:w="141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外语</w:t>
            </w:r>
          </w:p>
          <w:p>
            <w:pPr>
              <w:widowControl/>
              <w:spacing w:line="240" w:lineRule="exact"/>
              <w:jc w:val="center"/>
              <w:rPr>
                <w:rFonts w:ascii="宋体" w:hAnsi="宋体" w:cs="宋体"/>
                <w:kern w:val="0"/>
                <w:szCs w:val="21"/>
              </w:rPr>
            </w:pPr>
            <w:r>
              <w:rPr>
                <w:rFonts w:hint="eastAsia" w:ascii="宋体" w:hAnsi="宋体" w:cs="宋体"/>
                <w:kern w:val="0"/>
                <w:szCs w:val="21"/>
              </w:rPr>
              <w:t>及水平</w:t>
            </w: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身   高</w:t>
            </w:r>
          </w:p>
        </w:tc>
        <w:tc>
          <w:tcPr>
            <w:tcW w:w="103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8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体 重</w:t>
            </w:r>
          </w:p>
        </w:tc>
        <w:tc>
          <w:tcPr>
            <w:tcW w:w="90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1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婚姻状况</w:t>
            </w:r>
          </w:p>
        </w:tc>
        <w:tc>
          <w:tcPr>
            <w:tcW w:w="97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3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是否应届</w:t>
            </w:r>
          </w:p>
          <w:p>
            <w:pPr>
              <w:widowControl/>
              <w:spacing w:line="240" w:lineRule="exact"/>
              <w:jc w:val="center"/>
              <w:rPr>
                <w:rFonts w:ascii="宋体" w:hAnsi="宋体" w:cs="宋体"/>
                <w:kern w:val="0"/>
                <w:szCs w:val="21"/>
              </w:rPr>
            </w:pPr>
            <w:r>
              <w:rPr>
                <w:rFonts w:hint="eastAsia" w:ascii="宋体" w:hAnsi="宋体" w:cs="宋体"/>
                <w:kern w:val="0"/>
                <w:szCs w:val="21"/>
              </w:rPr>
              <w:t>研究生</w:t>
            </w:r>
          </w:p>
        </w:tc>
        <w:tc>
          <w:tcPr>
            <w:tcW w:w="1683"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职   称</w:t>
            </w:r>
          </w:p>
        </w:tc>
        <w:tc>
          <w:tcPr>
            <w:tcW w:w="3020"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1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职业（执业）</w:t>
            </w:r>
          </w:p>
          <w:p>
            <w:pPr>
              <w:widowControl/>
              <w:spacing w:line="240" w:lineRule="exact"/>
              <w:jc w:val="center"/>
              <w:rPr>
                <w:rFonts w:ascii="宋体" w:hAnsi="宋体" w:cs="宋体"/>
                <w:kern w:val="0"/>
                <w:szCs w:val="21"/>
              </w:rPr>
            </w:pPr>
            <w:r>
              <w:rPr>
                <w:rFonts w:hint="eastAsia" w:ascii="宋体" w:hAnsi="宋体" w:cs="宋体"/>
                <w:kern w:val="0"/>
                <w:szCs w:val="21"/>
              </w:rPr>
              <w:t>资格证书</w:t>
            </w: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nil"/>
              <w:right w:val="single" w:color="000000"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生源所</w:t>
            </w:r>
          </w:p>
          <w:p>
            <w:pPr>
              <w:widowControl/>
              <w:spacing w:line="240" w:lineRule="exact"/>
              <w:jc w:val="center"/>
              <w:rPr>
                <w:rFonts w:ascii="宋体" w:hAnsi="宋体" w:cs="宋体"/>
                <w:kern w:val="0"/>
                <w:szCs w:val="21"/>
              </w:rPr>
            </w:pPr>
            <w:r>
              <w:rPr>
                <w:rFonts w:hint="eastAsia" w:ascii="宋体" w:hAnsi="宋体" w:cs="宋体"/>
                <w:kern w:val="0"/>
                <w:szCs w:val="21"/>
              </w:rPr>
              <w:t>在地</w:t>
            </w:r>
          </w:p>
        </w:tc>
        <w:tc>
          <w:tcPr>
            <w:tcW w:w="8420" w:type="dxa"/>
            <w:gridSpan w:val="19"/>
            <w:tcBorders>
              <w:top w:val="single" w:color="auto" w:sz="4" w:space="0"/>
              <w:left w:val="nil"/>
              <w:bottom w:val="nil"/>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省（区）                市              县（市、区）</w:t>
            </w: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现工作</w:t>
            </w:r>
          </w:p>
          <w:p>
            <w:pPr>
              <w:widowControl/>
              <w:spacing w:line="240" w:lineRule="exact"/>
              <w:jc w:val="center"/>
              <w:rPr>
                <w:rFonts w:ascii="宋体" w:hAnsi="宋体" w:cs="宋体"/>
                <w:kern w:val="0"/>
                <w:szCs w:val="21"/>
              </w:rPr>
            </w:pPr>
            <w:r>
              <w:rPr>
                <w:rFonts w:hint="eastAsia" w:ascii="宋体" w:hAnsi="宋体" w:cs="宋体"/>
                <w:kern w:val="0"/>
                <w:szCs w:val="21"/>
              </w:rPr>
              <w:t>单位</w:t>
            </w:r>
          </w:p>
        </w:tc>
        <w:tc>
          <w:tcPr>
            <w:tcW w:w="321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2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现户籍</w:t>
            </w:r>
          </w:p>
          <w:p>
            <w:pPr>
              <w:widowControl/>
              <w:spacing w:line="240" w:lineRule="exact"/>
              <w:jc w:val="center"/>
              <w:rPr>
                <w:rFonts w:ascii="宋体" w:hAnsi="宋体" w:cs="宋体"/>
                <w:kern w:val="0"/>
                <w:szCs w:val="21"/>
              </w:rPr>
            </w:pPr>
            <w:r>
              <w:rPr>
                <w:rFonts w:hint="eastAsia" w:ascii="宋体" w:hAnsi="宋体" w:cs="宋体"/>
                <w:kern w:val="0"/>
                <w:szCs w:val="21"/>
              </w:rPr>
              <w:t>所在地</w:t>
            </w: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固定电话</w:t>
            </w:r>
          </w:p>
        </w:tc>
        <w:tc>
          <w:tcPr>
            <w:tcW w:w="3215"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p>
        </w:tc>
        <w:tc>
          <w:tcPr>
            <w:tcW w:w="122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手机号码</w:t>
            </w: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联系地址</w:t>
            </w:r>
          </w:p>
        </w:tc>
        <w:tc>
          <w:tcPr>
            <w:tcW w:w="3215"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p>
        </w:tc>
        <w:tc>
          <w:tcPr>
            <w:tcW w:w="122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Email</w:t>
            </w: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60" w:hRule="exact"/>
        </w:trPr>
        <w:tc>
          <w:tcPr>
            <w:tcW w:w="1995"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本科学历证书号</w:t>
            </w:r>
          </w:p>
        </w:tc>
        <w:tc>
          <w:tcPr>
            <w:tcW w:w="2520"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学历查询验证码</w:t>
            </w:r>
          </w:p>
        </w:tc>
        <w:tc>
          <w:tcPr>
            <w:tcW w:w="3405"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454" w:hRule="exact"/>
        </w:trPr>
        <w:tc>
          <w:tcPr>
            <w:tcW w:w="1995"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研究生学历证书号</w:t>
            </w:r>
          </w:p>
        </w:tc>
        <w:tc>
          <w:tcPr>
            <w:tcW w:w="2520"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学历查询验证码</w:t>
            </w:r>
          </w:p>
        </w:tc>
        <w:tc>
          <w:tcPr>
            <w:tcW w:w="3405"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420" w:hRule="atLeast"/>
        </w:trPr>
        <w:tc>
          <w:tcPr>
            <w:tcW w:w="9720" w:type="dxa"/>
            <w:gridSpan w:val="20"/>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教育背景(从高中阶段填写至研究生)</w:t>
            </w:r>
          </w:p>
        </w:tc>
      </w:tr>
      <w:tr>
        <w:tblPrEx>
          <w:tblCellMar>
            <w:top w:w="0" w:type="dxa"/>
            <w:left w:w="108" w:type="dxa"/>
            <w:bottom w:w="0" w:type="dxa"/>
            <w:right w:w="108" w:type="dxa"/>
          </w:tblCellMar>
        </w:tblPrEx>
        <w:trPr>
          <w:trHeight w:val="596" w:hRule="atLeast"/>
        </w:trPr>
        <w:tc>
          <w:tcPr>
            <w:tcW w:w="1455" w:type="dxa"/>
            <w:gridSpan w:val="2"/>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入学时间</w:t>
            </w:r>
          </w:p>
        </w:tc>
        <w:tc>
          <w:tcPr>
            <w:tcW w:w="1425" w:type="dxa"/>
            <w:gridSpan w:val="3"/>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毕业时间</w:t>
            </w:r>
          </w:p>
        </w:tc>
        <w:tc>
          <w:tcPr>
            <w:tcW w:w="855"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学制</w:t>
            </w:r>
          </w:p>
        </w:tc>
        <w:tc>
          <w:tcPr>
            <w:tcW w:w="915" w:type="dxa"/>
            <w:gridSpan w:val="3"/>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学历</w:t>
            </w:r>
          </w:p>
        </w:tc>
        <w:tc>
          <w:tcPr>
            <w:tcW w:w="905" w:type="dxa"/>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学位</w:t>
            </w:r>
          </w:p>
        </w:tc>
        <w:tc>
          <w:tcPr>
            <w:tcW w:w="891" w:type="dxa"/>
            <w:gridSpan w:val="3"/>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专业</w:t>
            </w:r>
          </w:p>
        </w:tc>
        <w:tc>
          <w:tcPr>
            <w:tcW w:w="1744" w:type="dxa"/>
            <w:gridSpan w:val="4"/>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毕业院校</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40" w:lineRule="exact"/>
              <w:ind w:left="-17" w:leftChars="-8"/>
              <w:jc w:val="center"/>
              <w:rPr>
                <w:rFonts w:ascii="宋体" w:hAnsi="宋体" w:cs="宋体"/>
                <w:kern w:val="0"/>
                <w:szCs w:val="21"/>
              </w:rPr>
            </w:pPr>
            <w:r>
              <w:rPr>
                <w:rFonts w:hint="eastAsia" w:ascii="宋体" w:hAnsi="宋体" w:cs="宋体"/>
                <w:kern w:val="0"/>
                <w:szCs w:val="21"/>
              </w:rPr>
              <w:t>是否211工程学校（打√）</w:t>
            </w:r>
          </w:p>
        </w:tc>
      </w:tr>
      <w:tr>
        <w:tblPrEx>
          <w:tblCellMar>
            <w:top w:w="0" w:type="dxa"/>
            <w:left w:w="108" w:type="dxa"/>
            <w:bottom w:w="0" w:type="dxa"/>
            <w:right w:w="108" w:type="dxa"/>
          </w:tblCellMar>
        </w:tblPrEx>
        <w:trPr>
          <w:trHeight w:val="285" w:hRule="atLeast"/>
        </w:trPr>
        <w:tc>
          <w:tcPr>
            <w:tcW w:w="1455" w:type="dxa"/>
            <w:gridSpan w:val="2"/>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425" w:type="dxa"/>
            <w:gridSpan w:val="3"/>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55"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915" w:type="dxa"/>
            <w:gridSpan w:val="3"/>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905" w:type="dxa"/>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91" w:type="dxa"/>
            <w:gridSpan w:val="3"/>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44" w:type="dxa"/>
            <w:gridSpan w:val="4"/>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是</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567" w:hRule="exact"/>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14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85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91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9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9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4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14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85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91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9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9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4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ind w:left="-109" w:leftChars="-52" w:firstLine="1"/>
              <w:jc w:val="center"/>
              <w:rPr>
                <w:rFonts w:ascii="宋体" w:hAnsi="宋体" w:cs="宋体"/>
                <w:kern w:val="0"/>
                <w:szCs w:val="21"/>
              </w:rPr>
            </w:pPr>
            <w:r>
              <w:rPr>
                <w:rFonts w:hint="eastAsia" w:ascii="宋体" w:hAnsi="宋体" w:cs="宋体"/>
                <w:kern w:val="0"/>
                <w:szCs w:val="21"/>
              </w:rPr>
              <w:t xml:space="preserve">     年   月</w:t>
            </w:r>
          </w:p>
        </w:tc>
        <w:tc>
          <w:tcPr>
            <w:tcW w:w="14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85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91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9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9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4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8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397" w:hRule="exact"/>
        </w:trPr>
        <w:tc>
          <w:tcPr>
            <w:tcW w:w="9720" w:type="dxa"/>
            <w:gridSpan w:val="20"/>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工作经历（实践经验）</w:t>
            </w:r>
          </w:p>
        </w:tc>
      </w:tr>
      <w:tr>
        <w:tblPrEx>
          <w:tblCellMar>
            <w:top w:w="0" w:type="dxa"/>
            <w:left w:w="108" w:type="dxa"/>
            <w:bottom w:w="0" w:type="dxa"/>
            <w:right w:w="108" w:type="dxa"/>
          </w:tblCellMar>
        </w:tblPrEx>
        <w:trPr>
          <w:trHeight w:val="397" w:hRule="exact"/>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起始时间</w:t>
            </w:r>
          </w:p>
        </w:tc>
        <w:tc>
          <w:tcPr>
            <w:tcW w:w="14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终止时间</w:t>
            </w:r>
          </w:p>
        </w:tc>
        <w:tc>
          <w:tcPr>
            <w:tcW w:w="2855"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所在单位</w:t>
            </w: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所从事工作及职务</w:t>
            </w:r>
          </w:p>
        </w:tc>
      </w:tr>
      <w:tr>
        <w:tblPrEx>
          <w:tblCellMar>
            <w:top w:w="0" w:type="dxa"/>
            <w:left w:w="108" w:type="dxa"/>
            <w:bottom w:w="0" w:type="dxa"/>
            <w:right w:w="108" w:type="dxa"/>
          </w:tblCellMar>
        </w:tblPrEx>
        <w:trPr>
          <w:trHeight w:val="567" w:hRule="exact"/>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14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2855"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14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2855"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7" w:hRule="exact"/>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14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    年   月</w:t>
            </w:r>
          </w:p>
        </w:tc>
        <w:tc>
          <w:tcPr>
            <w:tcW w:w="2855"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985"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2111"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在校期间 表现情况</w:t>
            </w:r>
          </w:p>
        </w:tc>
        <w:tc>
          <w:tcPr>
            <w:tcW w:w="8420" w:type="dxa"/>
            <w:gridSpan w:val="19"/>
            <w:tcBorders>
              <w:top w:val="single" w:color="auto" w:sz="4" w:space="0"/>
              <w:left w:val="nil"/>
              <w:bottom w:val="single" w:color="auto" w:sz="4" w:space="0"/>
              <w:right w:val="single" w:color="auto" w:sz="4" w:space="0"/>
            </w:tcBorders>
            <w:vAlign w:val="bottom"/>
          </w:tcPr>
          <w:p>
            <w:pPr>
              <w:widowControl/>
              <w:rPr>
                <w:rFonts w:ascii="宋体" w:hAnsi="宋体" w:cs="宋体"/>
                <w:kern w:val="0"/>
                <w:szCs w:val="21"/>
              </w:rPr>
            </w:pPr>
          </w:p>
        </w:tc>
      </w:tr>
      <w:tr>
        <w:tblPrEx>
          <w:tblCellMar>
            <w:top w:w="0" w:type="dxa"/>
            <w:left w:w="108" w:type="dxa"/>
            <w:bottom w:w="0" w:type="dxa"/>
            <w:right w:w="108" w:type="dxa"/>
          </w:tblCellMar>
        </w:tblPrEx>
        <w:trPr>
          <w:trHeight w:val="2325"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工作期间 表现情况</w:t>
            </w:r>
          </w:p>
        </w:tc>
        <w:tc>
          <w:tcPr>
            <w:tcW w:w="8420" w:type="dxa"/>
            <w:gridSpan w:val="19"/>
            <w:tcBorders>
              <w:top w:val="single" w:color="auto" w:sz="4" w:space="0"/>
              <w:left w:val="nil"/>
              <w:bottom w:val="single" w:color="auto" w:sz="4" w:space="0"/>
              <w:right w:val="single" w:color="auto" w:sz="4" w:space="0"/>
            </w:tcBorders>
            <w:vAlign w:val="bottom"/>
          </w:tcPr>
          <w:p>
            <w:pPr>
              <w:widowControl/>
              <w:rPr>
                <w:rFonts w:ascii="宋体" w:hAnsi="宋体" w:cs="宋体"/>
                <w:kern w:val="0"/>
                <w:szCs w:val="21"/>
              </w:rPr>
            </w:pPr>
          </w:p>
        </w:tc>
      </w:tr>
      <w:tr>
        <w:tblPrEx>
          <w:tblCellMar>
            <w:top w:w="0" w:type="dxa"/>
            <w:left w:w="108" w:type="dxa"/>
            <w:bottom w:w="0" w:type="dxa"/>
            <w:right w:w="108" w:type="dxa"/>
          </w:tblCellMar>
        </w:tblPrEx>
        <w:trPr>
          <w:trHeight w:val="1852"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论   文     著   作</w:t>
            </w:r>
          </w:p>
        </w:tc>
        <w:tc>
          <w:tcPr>
            <w:tcW w:w="8420" w:type="dxa"/>
            <w:gridSpan w:val="19"/>
            <w:tcBorders>
              <w:top w:val="single" w:color="auto" w:sz="4" w:space="0"/>
              <w:left w:val="nil"/>
              <w:bottom w:val="single" w:color="auto" w:sz="4" w:space="0"/>
              <w:right w:val="single" w:color="auto" w:sz="4" w:space="0"/>
            </w:tcBorders>
            <w:vAlign w:val="bottom"/>
          </w:tcPr>
          <w:p>
            <w:pPr>
              <w:widowControl/>
              <w:rPr>
                <w:rFonts w:ascii="宋体" w:hAnsi="宋体" w:cs="宋体"/>
                <w:kern w:val="0"/>
                <w:szCs w:val="21"/>
              </w:rPr>
            </w:pPr>
          </w:p>
        </w:tc>
      </w:tr>
      <w:tr>
        <w:tblPrEx>
          <w:tblCellMar>
            <w:top w:w="0" w:type="dxa"/>
            <w:left w:w="108" w:type="dxa"/>
            <w:bottom w:w="0" w:type="dxa"/>
            <w:right w:w="108" w:type="dxa"/>
          </w:tblCellMar>
        </w:tblPrEx>
        <w:trPr>
          <w:trHeight w:val="1836"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从事课题研究、获得相关专利情况</w:t>
            </w:r>
          </w:p>
        </w:tc>
        <w:tc>
          <w:tcPr>
            <w:tcW w:w="8420" w:type="dxa"/>
            <w:gridSpan w:val="19"/>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Cs w:val="21"/>
              </w:rPr>
            </w:pPr>
          </w:p>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1648"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个人特长  自我评价</w:t>
            </w:r>
          </w:p>
        </w:tc>
        <w:tc>
          <w:tcPr>
            <w:tcW w:w="8420" w:type="dxa"/>
            <w:gridSpan w:val="19"/>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1498"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备  注</w:t>
            </w:r>
          </w:p>
        </w:tc>
        <w:tc>
          <w:tcPr>
            <w:tcW w:w="8420" w:type="dxa"/>
            <w:gridSpan w:val="19"/>
            <w:tcBorders>
              <w:top w:val="single" w:color="auto" w:sz="4" w:space="0"/>
              <w:left w:val="nil"/>
              <w:bottom w:val="single" w:color="auto" w:sz="4" w:space="0"/>
              <w:right w:val="single" w:color="auto" w:sz="4" w:space="0"/>
            </w:tcBorders>
            <w:vAlign w:val="bottom"/>
          </w:tcPr>
          <w:p>
            <w:pPr>
              <w:widowControl/>
              <w:rPr>
                <w:rFonts w:ascii="宋体" w:hAnsi="宋体" w:cs="宋体"/>
                <w:kern w:val="0"/>
                <w:szCs w:val="21"/>
              </w:rPr>
            </w:pPr>
          </w:p>
        </w:tc>
      </w:tr>
    </w:tbl>
    <w:p>
      <w:pPr>
        <w:rPr>
          <w:rFonts w:ascii="宋体" w:hAnsi="宋体" w:cs="宋体"/>
          <w:kern w:val="0"/>
          <w:szCs w:val="21"/>
        </w:rPr>
      </w:pPr>
      <w:r>
        <w:rPr>
          <w:rFonts w:hint="eastAsia" w:ascii="宋体" w:hAnsi="宋体" w:cs="宋体"/>
          <w:kern w:val="0"/>
          <w:szCs w:val="21"/>
        </w:rPr>
        <w:t>备注：1、照片请上传，有条件的最好上传近期全身照片。</w:t>
      </w:r>
    </w:p>
    <w:p>
      <w:pPr>
        <w:ind w:firstLine="617" w:firstLineChars="294"/>
        <w:rPr>
          <w:rFonts w:ascii="宋体" w:hAnsi="宋体" w:cs="宋体"/>
          <w:kern w:val="0"/>
          <w:szCs w:val="21"/>
        </w:rPr>
      </w:pPr>
      <w:r>
        <w:rPr>
          <w:rFonts w:hint="eastAsia" w:ascii="宋体" w:hAnsi="宋体" w:cs="宋体"/>
          <w:kern w:val="0"/>
          <w:szCs w:val="21"/>
        </w:rPr>
        <w:t>2、本表内容请填写完整，并对内容的真实性负责。如不够填写可另附页说明。</w:t>
      </w:r>
    </w:p>
    <w:p>
      <w:pPr>
        <w:ind w:firstLine="617" w:firstLineChars="294"/>
        <w:rPr>
          <w:rFonts w:ascii="宋体" w:hAnsi="宋体"/>
          <w:color w:val="333333"/>
          <w:szCs w:val="21"/>
        </w:rPr>
      </w:pPr>
      <w:r>
        <w:rPr>
          <w:rFonts w:hint="eastAsia" w:ascii="宋体" w:hAnsi="宋体" w:cs="宋体"/>
          <w:kern w:val="0"/>
          <w:szCs w:val="21"/>
        </w:rPr>
        <w:t>3、</w:t>
      </w:r>
      <w:r>
        <w:rPr>
          <w:rFonts w:hint="eastAsia" w:cs="宋体"/>
          <w:bCs/>
          <w:kern w:val="0"/>
        </w:rPr>
        <w:t>本科、研究生学历证书查询码仅限于社会人员填写，查询码获取的方法：</w:t>
      </w:r>
      <w:r>
        <w:rPr>
          <w:rFonts w:hint="eastAsia" w:ascii="宋体" w:hAnsi="宋体"/>
          <w:color w:val="333333"/>
          <w:szCs w:val="21"/>
        </w:rPr>
        <w:t>中国移动用户发送短信 020 至 1065800883077，中国联通用户发送短信 1020 至 106555822077，按提示操作获取；</w:t>
      </w:r>
    </w:p>
    <w:p>
      <w:pPr>
        <w:ind w:firstLine="617" w:firstLineChars="294"/>
        <w:rPr>
          <w:rStyle w:val="9"/>
          <w:rFonts w:ascii="宋体" w:hAnsi="宋体" w:cs="宋体"/>
          <w:kern w:val="0"/>
          <w:szCs w:val="21"/>
        </w:rPr>
      </w:pPr>
      <w:r>
        <w:rPr>
          <w:rFonts w:hint="eastAsia" w:ascii="宋体" w:hAnsi="宋体"/>
          <w:color w:val="333333"/>
          <w:szCs w:val="21"/>
        </w:rPr>
        <w:t>4、</w:t>
      </w:r>
      <w:r>
        <w:rPr>
          <w:rFonts w:hint="eastAsia" w:ascii="宋体" w:hAnsi="宋体" w:cs="宋体"/>
          <w:kern w:val="0"/>
          <w:szCs w:val="21"/>
        </w:rPr>
        <w:t>登录中国高等教育学生信息网</w:t>
      </w:r>
      <w:r>
        <w:rPr>
          <w:rFonts w:ascii="宋体" w:hAnsi="宋体" w:cs="宋体"/>
          <w:kern w:val="0"/>
          <w:szCs w:val="21"/>
        </w:rPr>
        <w:t>（www.chsi.com.cn）</w:t>
      </w:r>
      <w:r>
        <w:rPr>
          <w:rFonts w:hint="eastAsia" w:ascii="宋体" w:hAnsi="宋体" w:cs="宋体"/>
          <w:kern w:val="0"/>
          <w:szCs w:val="21"/>
        </w:rPr>
        <w:t>进行查询。</w:t>
      </w:r>
    </w:p>
    <w:p>
      <w:pPr>
        <w:jc w:val="left"/>
        <w:rPr>
          <w:rFonts w:ascii="仿宋_GB2312" w:hAnsi="宋体" w:eastAsia="仿宋_GB2312" w:cs="宋体"/>
          <w:b/>
          <w:bCs/>
          <w:color w:val="000000"/>
          <w:sz w:val="44"/>
          <w:szCs w:val="44"/>
        </w:rPr>
      </w:pPr>
      <w:r>
        <w:rPr>
          <w:rFonts w:hint="eastAsia" w:ascii="仿宋_GB2312" w:hAnsi="宋体" w:eastAsia="仿宋_GB2312" w:cs="宋体"/>
          <w:color w:val="000000"/>
          <w:sz w:val="28"/>
          <w:szCs w:val="28"/>
        </w:rPr>
        <w:t>附件3：</w:t>
      </w:r>
    </w:p>
    <w:p>
      <w:pPr>
        <w:jc w:val="center"/>
        <w:rPr>
          <w:rFonts w:ascii="黑体" w:hAnsi="黑体" w:eastAsia="黑体" w:cs="宋体"/>
          <w:b/>
          <w:bCs/>
          <w:color w:val="000000"/>
          <w:sz w:val="32"/>
          <w:szCs w:val="32"/>
        </w:rPr>
      </w:pPr>
      <w:r>
        <w:rPr>
          <w:rFonts w:hint="eastAsia" w:ascii="黑体" w:hAnsi="黑体" w:eastAsia="黑体" w:cs="宋体"/>
          <w:b/>
          <w:bCs/>
          <w:color w:val="000000"/>
          <w:sz w:val="32"/>
          <w:szCs w:val="32"/>
        </w:rPr>
        <w:t>南浔区高层次卫技人才激励政策简介</w:t>
      </w:r>
    </w:p>
    <w:p>
      <w:pPr>
        <w:spacing w:line="380" w:lineRule="exact"/>
        <w:jc w:val="left"/>
        <w:rPr>
          <w:rFonts w:ascii="仿宋_GB2312" w:eastAsia="仿宋_GB2312"/>
          <w:color w:val="000000"/>
          <w:sz w:val="32"/>
          <w:szCs w:val="32"/>
        </w:rPr>
      </w:pPr>
    </w:p>
    <w:p>
      <w:pPr>
        <w:spacing w:line="55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为进一步加强我区卫技人才的引进、培育工作，建立公平公正、科学灵活的引才留才机制，满足我区医疗卫生事业健康、快速发展需要及健康南浔总体要求，根据《湖州市南浔区人民政府办公室关于进一步加强卫技人才引育工作的实施意见》文件精神，就人才激励政策简要介绍如下：</w:t>
      </w:r>
    </w:p>
    <w:p>
      <w:pPr>
        <w:spacing w:line="55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一、高层次人才补助</w:t>
      </w:r>
    </w:p>
    <w:p>
      <w:pPr>
        <w:spacing w:line="55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1.设立引进高层次卫技人才生活补助。</w:t>
      </w:r>
      <w:r>
        <w:rPr>
          <w:rFonts w:hint="eastAsia" w:ascii="仿宋_GB2312" w:eastAsia="仿宋_GB2312"/>
          <w:color w:val="000000"/>
          <w:sz w:val="32"/>
          <w:szCs w:val="32"/>
        </w:rPr>
        <w:t>市级及以上医疗卫生专业学科带头人每月</w:t>
      </w:r>
      <w:r>
        <w:rPr>
          <w:rFonts w:ascii="仿宋_GB2312" w:eastAsia="仿宋_GB2312"/>
          <w:color w:val="000000"/>
          <w:sz w:val="32"/>
          <w:szCs w:val="32"/>
        </w:rPr>
        <w:t>5000</w:t>
      </w:r>
      <w:r>
        <w:rPr>
          <w:rFonts w:hint="eastAsia" w:ascii="仿宋_GB2312" w:eastAsia="仿宋_GB2312"/>
          <w:color w:val="000000"/>
          <w:sz w:val="32"/>
          <w:szCs w:val="32"/>
        </w:rPr>
        <w:t>元，博士研究生每月</w:t>
      </w:r>
      <w:r>
        <w:rPr>
          <w:rFonts w:ascii="仿宋_GB2312" w:eastAsia="仿宋_GB2312"/>
          <w:color w:val="000000"/>
          <w:sz w:val="32"/>
          <w:szCs w:val="32"/>
        </w:rPr>
        <w:t>4000</w:t>
      </w:r>
      <w:r>
        <w:rPr>
          <w:rFonts w:hint="eastAsia" w:ascii="仿宋_GB2312" w:eastAsia="仿宋_GB2312"/>
          <w:color w:val="000000"/>
          <w:sz w:val="32"/>
          <w:szCs w:val="32"/>
        </w:rPr>
        <w:t>元，正高职称每月</w:t>
      </w:r>
      <w:r>
        <w:rPr>
          <w:rFonts w:ascii="仿宋_GB2312" w:eastAsia="仿宋_GB2312"/>
          <w:color w:val="000000"/>
          <w:sz w:val="32"/>
          <w:szCs w:val="32"/>
        </w:rPr>
        <w:t>3000</w:t>
      </w:r>
      <w:r>
        <w:rPr>
          <w:rFonts w:hint="eastAsia" w:ascii="仿宋_GB2312" w:eastAsia="仿宋_GB2312"/>
          <w:color w:val="000000"/>
          <w:sz w:val="32"/>
          <w:szCs w:val="32"/>
        </w:rPr>
        <w:t>元，副高职称每月</w:t>
      </w:r>
      <w:r>
        <w:rPr>
          <w:rFonts w:ascii="仿宋_GB2312" w:eastAsia="仿宋_GB2312"/>
          <w:color w:val="000000"/>
          <w:sz w:val="32"/>
          <w:szCs w:val="32"/>
        </w:rPr>
        <w:t>2000</w:t>
      </w:r>
      <w:r>
        <w:rPr>
          <w:rFonts w:hint="eastAsia" w:ascii="仿宋_GB2312" w:eastAsia="仿宋_GB2312"/>
          <w:color w:val="000000"/>
          <w:sz w:val="32"/>
          <w:szCs w:val="32"/>
        </w:rPr>
        <w:t>元，硕士研究生每月</w:t>
      </w:r>
      <w:r>
        <w:rPr>
          <w:rFonts w:ascii="仿宋_GB2312" w:eastAsia="仿宋_GB2312"/>
          <w:color w:val="000000"/>
          <w:sz w:val="32"/>
          <w:szCs w:val="32"/>
        </w:rPr>
        <w:t>1000</w:t>
      </w:r>
      <w:r>
        <w:rPr>
          <w:rFonts w:hint="eastAsia" w:ascii="仿宋_GB2312" w:eastAsia="仿宋_GB2312"/>
          <w:color w:val="000000"/>
          <w:sz w:val="32"/>
          <w:szCs w:val="32"/>
        </w:rPr>
        <w:t>元。</w:t>
      </w:r>
    </w:p>
    <w:p>
      <w:pPr>
        <w:spacing w:after="100" w:line="550" w:lineRule="exact"/>
        <w:ind w:firstLine="643" w:firstLineChars="200"/>
        <w:rPr>
          <w:rFonts w:ascii="仿宋_GB2312" w:eastAsia="仿宋_GB2312"/>
          <w:color w:val="000000"/>
          <w:sz w:val="32"/>
          <w:szCs w:val="32"/>
        </w:rPr>
      </w:pPr>
      <w:r>
        <w:rPr>
          <w:rFonts w:ascii="仿宋_GB2312" w:eastAsia="仿宋_GB2312"/>
          <w:b/>
          <w:bCs/>
          <w:color w:val="000000"/>
          <w:sz w:val="32"/>
          <w:szCs w:val="32"/>
        </w:rPr>
        <w:t>2.</w:t>
      </w:r>
      <w:r>
        <w:rPr>
          <w:rFonts w:hint="eastAsia" w:ascii="仿宋_GB2312" w:eastAsia="仿宋_GB2312"/>
          <w:b/>
          <w:bCs/>
          <w:color w:val="000000"/>
          <w:sz w:val="32"/>
          <w:szCs w:val="32"/>
        </w:rPr>
        <w:t>设立引进高层次卫技人才购房补助。</w:t>
      </w:r>
      <w:r>
        <w:rPr>
          <w:rFonts w:hint="eastAsia" w:ascii="仿宋_GB2312" w:eastAsia="仿宋_GB2312"/>
          <w:color w:val="000000"/>
          <w:sz w:val="32"/>
          <w:szCs w:val="32"/>
        </w:rPr>
        <w:t>引进后在南浔区内购买首套商品住房的，市级及以上医疗卫生专业学科带头人一次性补助</w:t>
      </w:r>
      <w:r>
        <w:rPr>
          <w:rFonts w:ascii="仿宋_GB2312" w:eastAsia="仿宋_GB2312"/>
          <w:color w:val="000000"/>
          <w:sz w:val="32"/>
          <w:szCs w:val="32"/>
        </w:rPr>
        <w:t>70</w:t>
      </w:r>
      <w:r>
        <w:rPr>
          <w:rFonts w:hint="eastAsia" w:ascii="仿宋_GB2312" w:eastAsia="仿宋_GB2312"/>
          <w:color w:val="000000"/>
          <w:sz w:val="32"/>
          <w:szCs w:val="32"/>
        </w:rPr>
        <w:t>万元，博士研究生一次性补助</w:t>
      </w:r>
      <w:r>
        <w:rPr>
          <w:rFonts w:ascii="仿宋_GB2312" w:eastAsia="仿宋_GB2312"/>
          <w:color w:val="000000"/>
          <w:sz w:val="32"/>
          <w:szCs w:val="32"/>
        </w:rPr>
        <w:t>60</w:t>
      </w:r>
      <w:r>
        <w:rPr>
          <w:rFonts w:hint="eastAsia" w:ascii="仿宋_GB2312" w:eastAsia="仿宋_GB2312"/>
          <w:color w:val="000000"/>
          <w:sz w:val="32"/>
          <w:szCs w:val="32"/>
        </w:rPr>
        <w:t>万元，正高职称一次性补助</w:t>
      </w:r>
      <w:r>
        <w:rPr>
          <w:rFonts w:ascii="仿宋_GB2312" w:eastAsia="仿宋_GB2312"/>
          <w:color w:val="000000"/>
          <w:sz w:val="32"/>
          <w:szCs w:val="32"/>
        </w:rPr>
        <w:t>50</w:t>
      </w:r>
      <w:r>
        <w:rPr>
          <w:rFonts w:hint="eastAsia" w:ascii="仿宋_GB2312" w:eastAsia="仿宋_GB2312"/>
          <w:color w:val="000000"/>
          <w:sz w:val="32"/>
          <w:szCs w:val="32"/>
        </w:rPr>
        <w:t>万元，副高职称一次性补助</w:t>
      </w:r>
      <w:r>
        <w:rPr>
          <w:rFonts w:ascii="仿宋_GB2312" w:eastAsia="仿宋_GB2312"/>
          <w:color w:val="000000"/>
          <w:sz w:val="32"/>
          <w:szCs w:val="32"/>
        </w:rPr>
        <w:t>40</w:t>
      </w:r>
      <w:r>
        <w:rPr>
          <w:rFonts w:hint="eastAsia" w:ascii="仿宋_GB2312" w:eastAsia="仿宋_GB2312"/>
          <w:color w:val="000000"/>
          <w:sz w:val="32"/>
          <w:szCs w:val="32"/>
        </w:rPr>
        <w:t>万元，硕士研究生一次性补助</w:t>
      </w:r>
      <w:r>
        <w:rPr>
          <w:rFonts w:ascii="仿宋_GB2312" w:eastAsia="仿宋_GB2312"/>
          <w:color w:val="000000"/>
          <w:sz w:val="32"/>
          <w:szCs w:val="32"/>
        </w:rPr>
        <w:t>30</w:t>
      </w:r>
      <w:r>
        <w:rPr>
          <w:rFonts w:hint="eastAsia" w:ascii="仿宋_GB2312" w:eastAsia="仿宋_GB2312"/>
          <w:color w:val="000000"/>
          <w:sz w:val="32"/>
          <w:szCs w:val="32"/>
        </w:rPr>
        <w:t>万元，夫妻双方均为医学专业副高职称的，一次性补助</w:t>
      </w:r>
      <w:r>
        <w:rPr>
          <w:rFonts w:ascii="仿宋_GB2312" w:eastAsia="仿宋_GB2312"/>
          <w:color w:val="000000"/>
          <w:sz w:val="32"/>
          <w:szCs w:val="32"/>
        </w:rPr>
        <w:t>60</w:t>
      </w:r>
      <w:r>
        <w:rPr>
          <w:rFonts w:hint="eastAsia" w:ascii="仿宋_GB2312" w:eastAsia="仿宋_GB2312"/>
          <w:color w:val="000000"/>
          <w:sz w:val="32"/>
          <w:szCs w:val="32"/>
        </w:rPr>
        <w:t>万元。</w:t>
      </w:r>
    </w:p>
    <w:p>
      <w:pPr>
        <w:spacing w:after="100" w:line="550" w:lineRule="exact"/>
        <w:ind w:firstLine="643" w:firstLineChars="200"/>
        <w:rPr>
          <w:rFonts w:ascii="仿宋_GB2312" w:eastAsia="仿宋_GB2312"/>
          <w:color w:val="000000"/>
          <w:sz w:val="32"/>
          <w:szCs w:val="32"/>
        </w:rPr>
      </w:pPr>
      <w:r>
        <w:rPr>
          <w:rFonts w:ascii="仿宋_GB2312" w:eastAsia="仿宋_GB2312"/>
          <w:b/>
          <w:bCs/>
          <w:color w:val="000000"/>
          <w:sz w:val="32"/>
          <w:szCs w:val="32"/>
        </w:rPr>
        <w:t>3.</w:t>
      </w:r>
      <w:r>
        <w:rPr>
          <w:rFonts w:hint="eastAsia" w:ascii="仿宋_GB2312" w:eastAsia="仿宋_GB2312"/>
          <w:b/>
          <w:bCs/>
          <w:color w:val="000000"/>
          <w:sz w:val="32"/>
          <w:szCs w:val="32"/>
        </w:rPr>
        <w:t>设立引进高层次卫技人才安家补助。</w:t>
      </w:r>
      <w:r>
        <w:rPr>
          <w:rFonts w:hint="eastAsia" w:ascii="仿宋_GB2312" w:eastAsia="仿宋_GB2312"/>
          <w:color w:val="000000"/>
          <w:sz w:val="32"/>
          <w:szCs w:val="32"/>
        </w:rPr>
        <w:t>对市级及以上医疗卫生专业学科带头人给予一次性安家补助</w:t>
      </w:r>
      <w:r>
        <w:rPr>
          <w:rFonts w:ascii="仿宋_GB2312" w:eastAsia="仿宋_GB2312"/>
          <w:color w:val="000000"/>
          <w:sz w:val="32"/>
          <w:szCs w:val="32"/>
        </w:rPr>
        <w:t>20</w:t>
      </w:r>
      <w:r>
        <w:rPr>
          <w:rFonts w:hint="eastAsia" w:ascii="仿宋_GB2312" w:eastAsia="仿宋_GB2312"/>
          <w:color w:val="000000"/>
          <w:sz w:val="32"/>
          <w:szCs w:val="32"/>
        </w:rPr>
        <w:t>万元，三级甲等综合性医院正高职称或博士研究生给予一次性安家补助</w:t>
      </w:r>
      <w:r>
        <w:rPr>
          <w:rFonts w:ascii="仿宋_GB2312" w:eastAsia="仿宋_GB2312"/>
          <w:color w:val="000000"/>
          <w:sz w:val="32"/>
          <w:szCs w:val="32"/>
        </w:rPr>
        <w:t>10</w:t>
      </w:r>
      <w:r>
        <w:rPr>
          <w:rFonts w:hint="eastAsia" w:ascii="仿宋_GB2312" w:eastAsia="仿宋_GB2312"/>
          <w:color w:val="000000"/>
          <w:sz w:val="32"/>
          <w:szCs w:val="32"/>
        </w:rPr>
        <w:t>万元。</w:t>
      </w:r>
    </w:p>
    <w:p>
      <w:pPr>
        <w:spacing w:after="100" w:line="550" w:lineRule="exact"/>
        <w:ind w:firstLine="643" w:firstLineChars="200"/>
        <w:rPr>
          <w:rFonts w:ascii="仿宋_GB2312" w:eastAsia="仿宋_GB2312"/>
          <w:color w:val="000000"/>
          <w:sz w:val="32"/>
          <w:szCs w:val="32"/>
        </w:rPr>
      </w:pPr>
      <w:r>
        <w:rPr>
          <w:rFonts w:ascii="仿宋_GB2312" w:eastAsia="仿宋_GB2312"/>
          <w:b/>
          <w:bCs/>
          <w:color w:val="000000"/>
          <w:sz w:val="32"/>
          <w:szCs w:val="32"/>
        </w:rPr>
        <w:t>4.</w:t>
      </w:r>
      <w:r>
        <w:rPr>
          <w:rFonts w:hint="eastAsia" w:ascii="仿宋_GB2312" w:eastAsia="仿宋_GB2312"/>
          <w:b/>
          <w:bCs/>
          <w:color w:val="000000"/>
          <w:sz w:val="32"/>
          <w:szCs w:val="32"/>
        </w:rPr>
        <w:t>开辟高层次卫技人才引进“绿色通道”。</w:t>
      </w:r>
      <w:r>
        <w:rPr>
          <w:rFonts w:hint="eastAsia" w:ascii="仿宋_GB2312" w:eastAsia="仿宋_GB2312"/>
          <w:color w:val="000000"/>
          <w:sz w:val="32"/>
          <w:szCs w:val="32"/>
        </w:rPr>
        <w:t>对引进的高层次卫技人才无法调转人事关系的，可由区卫生部门重新建档，其配偶、子女户籍可随迁，其配偶原在机关事业单位工作的，可由组织人事部门协调安置，子女入学问题可由组织部门牵头协调解决。</w:t>
      </w:r>
    </w:p>
    <w:p>
      <w:pPr>
        <w:spacing w:after="100" w:line="55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二、新招引的</w:t>
      </w:r>
      <w:r>
        <w:rPr>
          <w:rFonts w:hint="eastAsia" w:ascii="黑体" w:eastAsia="黑体"/>
          <w:bCs/>
          <w:color w:val="000000"/>
          <w:sz w:val="32"/>
          <w:szCs w:val="32"/>
        </w:rPr>
        <w:t>全日制普通高校优秀本科毕业生</w:t>
      </w:r>
      <w:r>
        <w:rPr>
          <w:rFonts w:hint="eastAsia" w:ascii="黑体" w:hAnsi="黑体" w:eastAsia="黑体" w:cs="黑体"/>
          <w:bCs/>
          <w:color w:val="000000"/>
          <w:sz w:val="32"/>
          <w:szCs w:val="32"/>
        </w:rPr>
        <w:t>可享受购房补助或租房补贴</w:t>
      </w:r>
    </w:p>
    <w:p>
      <w:pPr>
        <w:spacing w:after="100" w:line="550" w:lineRule="exact"/>
        <w:ind w:firstLine="627" w:firstLineChars="196"/>
        <w:rPr>
          <w:rFonts w:ascii="楷体_GB2312" w:hAnsi="楷体_GB2312" w:eastAsia="楷体_GB2312" w:cs="楷体_GB2312"/>
          <w:b/>
          <w:color w:val="000000"/>
          <w:sz w:val="32"/>
          <w:szCs w:val="32"/>
        </w:rPr>
      </w:pPr>
      <w:r>
        <w:rPr>
          <w:rFonts w:hint="eastAsia" w:ascii="黑体" w:hAnsi="黑体" w:eastAsia="黑体" w:cs="黑体"/>
          <w:bCs/>
          <w:color w:val="000000"/>
          <w:sz w:val="32"/>
          <w:szCs w:val="32"/>
        </w:rPr>
        <w:t>（一）</w:t>
      </w:r>
      <w:r>
        <w:rPr>
          <w:rFonts w:hint="eastAsia" w:ascii="楷体_GB2312" w:hAnsi="楷体_GB2312" w:eastAsia="楷体_GB2312" w:cs="楷体_GB2312"/>
          <w:b/>
          <w:color w:val="000000"/>
          <w:sz w:val="32"/>
          <w:szCs w:val="32"/>
        </w:rPr>
        <w:t>优秀毕业生应具备下列条件之一：</w:t>
      </w:r>
    </w:p>
    <w:p>
      <w:pPr>
        <w:spacing w:after="100" w:line="550" w:lineRule="exact"/>
        <w:ind w:firstLine="640" w:firstLineChars="200"/>
        <w:rPr>
          <w:rFonts w:ascii="仿宋_GB2312" w:eastAsia="仿宋_GB2312"/>
          <w:bCs/>
          <w:color w:val="000000"/>
          <w:sz w:val="32"/>
          <w:szCs w:val="32"/>
        </w:rPr>
      </w:pPr>
      <w:r>
        <w:rPr>
          <w:rFonts w:ascii="仿宋_GB2312" w:eastAsia="仿宋_GB2312"/>
          <w:bCs/>
          <w:color w:val="000000"/>
          <w:sz w:val="32"/>
          <w:szCs w:val="32"/>
        </w:rPr>
        <w:t>1.985</w:t>
      </w:r>
      <w:r>
        <w:rPr>
          <w:rFonts w:hint="eastAsia" w:ascii="仿宋_GB2312" w:eastAsia="仿宋_GB2312"/>
          <w:bCs/>
          <w:color w:val="000000"/>
          <w:sz w:val="32"/>
          <w:szCs w:val="32"/>
        </w:rPr>
        <w:t>、</w:t>
      </w:r>
      <w:r>
        <w:rPr>
          <w:rFonts w:ascii="仿宋_GB2312" w:eastAsia="仿宋_GB2312"/>
          <w:bCs/>
          <w:color w:val="000000"/>
          <w:sz w:val="32"/>
          <w:szCs w:val="32"/>
        </w:rPr>
        <w:t>211</w:t>
      </w:r>
      <w:r>
        <w:rPr>
          <w:rFonts w:hint="eastAsia" w:ascii="仿宋_GB2312" w:eastAsia="仿宋_GB2312"/>
          <w:bCs/>
          <w:color w:val="000000"/>
          <w:sz w:val="32"/>
          <w:szCs w:val="32"/>
        </w:rPr>
        <w:t>院校本科毕业生</w:t>
      </w:r>
      <w:r>
        <w:rPr>
          <w:rFonts w:ascii="仿宋_GB2312" w:eastAsia="仿宋_GB2312"/>
          <w:bCs/>
          <w:color w:val="000000"/>
          <w:sz w:val="32"/>
          <w:szCs w:val="32"/>
        </w:rPr>
        <w:t>;</w:t>
      </w:r>
    </w:p>
    <w:p>
      <w:pPr>
        <w:spacing w:after="100" w:line="550" w:lineRule="exact"/>
        <w:ind w:firstLine="640" w:firstLineChars="200"/>
        <w:rPr>
          <w:rFonts w:ascii="仿宋_GB2312" w:eastAsia="仿宋_GB2312"/>
          <w:bCs/>
          <w:color w:val="000000"/>
          <w:sz w:val="32"/>
          <w:szCs w:val="32"/>
        </w:rPr>
      </w:pPr>
      <w:r>
        <w:rPr>
          <w:rFonts w:ascii="仿宋_GB2312" w:eastAsia="仿宋_GB2312"/>
          <w:bCs/>
          <w:color w:val="000000"/>
          <w:sz w:val="32"/>
          <w:szCs w:val="32"/>
        </w:rPr>
        <w:t>2.</w:t>
      </w:r>
      <w:r>
        <w:rPr>
          <w:rFonts w:hint="eastAsia" w:ascii="仿宋_GB2312" w:eastAsia="仿宋_GB2312"/>
          <w:bCs/>
          <w:color w:val="000000"/>
          <w:sz w:val="32"/>
          <w:szCs w:val="32"/>
        </w:rPr>
        <w:t>校级及以上优秀毕业生；</w:t>
      </w:r>
    </w:p>
    <w:p>
      <w:pPr>
        <w:spacing w:after="100" w:line="550" w:lineRule="exact"/>
        <w:ind w:firstLine="640" w:firstLineChars="200"/>
        <w:rPr>
          <w:rFonts w:ascii="仿宋_GB2312" w:eastAsia="仿宋_GB2312"/>
          <w:bCs/>
          <w:color w:val="000000"/>
          <w:sz w:val="32"/>
          <w:szCs w:val="32"/>
        </w:rPr>
      </w:pPr>
      <w:r>
        <w:rPr>
          <w:rFonts w:ascii="仿宋_GB2312" w:eastAsia="仿宋_GB2312"/>
          <w:bCs/>
          <w:color w:val="000000"/>
          <w:sz w:val="32"/>
          <w:szCs w:val="32"/>
        </w:rPr>
        <w:t>3.</w:t>
      </w:r>
      <w:r>
        <w:rPr>
          <w:rFonts w:hint="eastAsia" w:ascii="仿宋_GB2312" w:eastAsia="仿宋_GB2312"/>
          <w:bCs/>
          <w:color w:val="000000"/>
          <w:sz w:val="32"/>
          <w:szCs w:val="32"/>
        </w:rPr>
        <w:t>在校期间被评为校级“三好学生”并获校级二等及以上奖学金者。</w:t>
      </w:r>
    </w:p>
    <w:p>
      <w:pPr>
        <w:spacing w:after="100" w:line="550" w:lineRule="exact"/>
        <w:ind w:firstLine="630" w:firstLineChars="196"/>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（二）补贴标准</w:t>
      </w:r>
    </w:p>
    <w:p>
      <w:pPr>
        <w:spacing w:after="100" w:line="550" w:lineRule="exact"/>
        <w:ind w:firstLine="630" w:firstLineChars="196"/>
        <w:rPr>
          <w:rFonts w:ascii="仿宋_GB2312" w:eastAsia="仿宋_GB2312"/>
          <w:color w:val="000000"/>
          <w:sz w:val="32"/>
          <w:szCs w:val="32"/>
        </w:rPr>
      </w:pPr>
      <w:r>
        <w:rPr>
          <w:rFonts w:hint="eastAsia" w:ascii="楷体_GB2312" w:hAnsi="楷体_GB2312" w:eastAsia="楷体_GB2312" w:cs="楷体_GB2312"/>
          <w:b/>
          <w:bCs/>
          <w:color w:val="000000"/>
          <w:sz w:val="32"/>
          <w:szCs w:val="32"/>
        </w:rPr>
        <w:t>1.购房补助。</w:t>
      </w:r>
      <w:r>
        <w:rPr>
          <w:rFonts w:hint="eastAsia" w:ascii="仿宋_GB2312" w:eastAsia="仿宋_GB2312"/>
          <w:color w:val="000000"/>
          <w:sz w:val="32"/>
          <w:szCs w:val="32"/>
        </w:rPr>
        <w:t>在南浔区内购买商品住房的，给予一次性补助</w:t>
      </w:r>
      <w:r>
        <w:rPr>
          <w:rFonts w:ascii="仿宋_GB2312" w:eastAsia="仿宋_GB2312"/>
          <w:color w:val="000000"/>
          <w:sz w:val="32"/>
          <w:szCs w:val="32"/>
        </w:rPr>
        <w:t>20</w:t>
      </w:r>
      <w:r>
        <w:rPr>
          <w:rFonts w:hint="eastAsia" w:ascii="仿宋_GB2312" w:eastAsia="仿宋_GB2312"/>
          <w:color w:val="000000"/>
          <w:sz w:val="32"/>
          <w:szCs w:val="32"/>
        </w:rPr>
        <w:t>万元。</w:t>
      </w:r>
    </w:p>
    <w:p>
      <w:pPr>
        <w:spacing w:after="100" w:line="550" w:lineRule="exact"/>
        <w:ind w:firstLine="640" w:firstLineChars="200"/>
        <w:rPr>
          <w:rFonts w:ascii="仿宋_GB2312" w:eastAsia="仿宋_GB2312"/>
          <w:color w:val="000000"/>
          <w:sz w:val="32"/>
          <w:szCs w:val="32"/>
        </w:rPr>
      </w:pPr>
      <w:r>
        <w:rPr>
          <w:rFonts w:hint="eastAsia" w:ascii="黑体" w:hAnsi="黑体" w:eastAsia="黑体" w:cs="黑体"/>
          <w:bCs/>
          <w:color w:val="000000"/>
          <w:sz w:val="32"/>
          <w:szCs w:val="32"/>
        </w:rPr>
        <w:t>2.</w:t>
      </w:r>
      <w:r>
        <w:rPr>
          <w:rFonts w:hint="eastAsia" w:ascii="楷体_GB2312" w:hAnsi="楷体_GB2312" w:eastAsia="楷体_GB2312" w:cs="楷体_GB2312"/>
          <w:b/>
          <w:bCs/>
          <w:color w:val="000000"/>
          <w:sz w:val="32"/>
          <w:szCs w:val="32"/>
        </w:rPr>
        <w:t>租房补贴。</w:t>
      </w:r>
      <w:r>
        <w:rPr>
          <w:rFonts w:hint="eastAsia" w:ascii="仿宋_GB2312" w:eastAsia="仿宋_GB2312"/>
          <w:color w:val="000000"/>
          <w:sz w:val="32"/>
          <w:szCs w:val="32"/>
        </w:rPr>
        <w:t>尚未在南浔区内购买商品住房并租房的，给予租房补贴，租房补贴标准为每月</w:t>
      </w:r>
      <w:r>
        <w:rPr>
          <w:rFonts w:ascii="仿宋_GB2312" w:eastAsia="仿宋_GB2312"/>
          <w:color w:val="000000"/>
          <w:sz w:val="32"/>
          <w:szCs w:val="32"/>
        </w:rPr>
        <w:t>1000</w:t>
      </w:r>
      <w:r>
        <w:rPr>
          <w:rFonts w:hint="eastAsia" w:ascii="仿宋_GB2312" w:eastAsia="仿宋_GB2312"/>
          <w:color w:val="000000"/>
          <w:sz w:val="32"/>
          <w:szCs w:val="32"/>
        </w:rPr>
        <w:t>元。</w:t>
      </w:r>
    </w:p>
    <w:p>
      <w:pPr>
        <w:spacing w:after="100" w:line="550" w:lineRule="exact"/>
        <w:ind w:firstLine="640" w:firstLineChars="200"/>
        <w:rPr>
          <w:rFonts w:ascii="黑体" w:eastAsia="黑体"/>
          <w:color w:val="000000"/>
          <w:sz w:val="32"/>
          <w:szCs w:val="32"/>
        </w:rPr>
      </w:pPr>
      <w:r>
        <w:rPr>
          <w:rFonts w:hint="eastAsia" w:ascii="黑体" w:eastAsia="黑体"/>
          <w:color w:val="000000"/>
          <w:sz w:val="32"/>
          <w:szCs w:val="32"/>
        </w:rPr>
        <w:t>三、鼓励卫技人才科技创新</w:t>
      </w:r>
    </w:p>
    <w:p>
      <w:pPr>
        <w:spacing w:after="100" w:line="55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设立卫技人才科技奖励金，南浔区内医疗卫生机构卫技人才作为课题组负责人申报成功市级、省卫计委（中医局）级、省级、国家（部委）级科研项目，并通过验收的分别给予课题组</w:t>
      </w:r>
      <w:r>
        <w:rPr>
          <w:rFonts w:ascii="仿宋_GB2312" w:eastAsia="仿宋_GB2312"/>
          <w:color w:val="000000"/>
          <w:sz w:val="32"/>
          <w:szCs w:val="32"/>
        </w:rPr>
        <w:t>2</w:t>
      </w:r>
      <w:r>
        <w:rPr>
          <w:rFonts w:hint="eastAsia" w:ascii="仿宋_GB2312" w:eastAsia="仿宋_GB2312"/>
          <w:color w:val="000000"/>
          <w:sz w:val="32"/>
          <w:szCs w:val="32"/>
        </w:rPr>
        <w:t>、</w:t>
      </w:r>
      <w:r>
        <w:rPr>
          <w:rFonts w:ascii="仿宋_GB2312" w:eastAsia="仿宋_GB2312"/>
          <w:color w:val="000000"/>
          <w:sz w:val="32"/>
          <w:szCs w:val="32"/>
        </w:rPr>
        <w:t>10</w:t>
      </w:r>
      <w:r>
        <w:rPr>
          <w:rFonts w:hint="eastAsia" w:ascii="仿宋_GB2312" w:eastAsia="仿宋_GB2312"/>
          <w:color w:val="000000"/>
          <w:sz w:val="32"/>
          <w:szCs w:val="32"/>
        </w:rPr>
        <w:t>、</w:t>
      </w:r>
      <w:r>
        <w:rPr>
          <w:rFonts w:ascii="仿宋_GB2312" w:eastAsia="仿宋_GB2312"/>
          <w:color w:val="000000"/>
          <w:sz w:val="32"/>
          <w:szCs w:val="32"/>
        </w:rPr>
        <w:t>15</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rPr>
        <w:t>万元的科技奖励金；获得科技成果三等奖的，按上述不同级别分别给予</w:t>
      </w:r>
      <w:r>
        <w:rPr>
          <w:rFonts w:ascii="仿宋_GB2312" w:eastAsia="仿宋_GB2312"/>
          <w:color w:val="000000"/>
          <w:sz w:val="32"/>
          <w:szCs w:val="32"/>
        </w:rPr>
        <w:t>2</w:t>
      </w: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w:t>
      </w:r>
      <w:r>
        <w:rPr>
          <w:rFonts w:ascii="仿宋_GB2312" w:eastAsia="仿宋_GB2312"/>
          <w:color w:val="000000"/>
          <w:sz w:val="32"/>
          <w:szCs w:val="32"/>
        </w:rPr>
        <w:t>10</w:t>
      </w:r>
      <w:r>
        <w:rPr>
          <w:rFonts w:hint="eastAsia" w:ascii="仿宋_GB2312" w:eastAsia="仿宋_GB2312"/>
          <w:color w:val="000000"/>
          <w:sz w:val="32"/>
          <w:szCs w:val="32"/>
        </w:rPr>
        <w:t>万元的科技成果奖，获得二等奖、一等奖的，科技成果奖按相应级别三等奖的</w:t>
      </w:r>
      <w:r>
        <w:rPr>
          <w:rFonts w:ascii="仿宋_GB2312" w:eastAsia="仿宋_GB2312"/>
          <w:color w:val="000000"/>
          <w:sz w:val="32"/>
          <w:szCs w:val="32"/>
        </w:rPr>
        <w:t>2</w:t>
      </w:r>
      <w:r>
        <w:rPr>
          <w:rFonts w:hint="eastAsia" w:ascii="仿宋_GB2312" w:eastAsia="仿宋_GB2312"/>
          <w:color w:val="000000"/>
          <w:sz w:val="32"/>
          <w:szCs w:val="32"/>
        </w:rPr>
        <w:t>倍、</w:t>
      </w:r>
      <w:r>
        <w:rPr>
          <w:rFonts w:ascii="仿宋_GB2312" w:eastAsia="仿宋_GB2312"/>
          <w:color w:val="000000"/>
          <w:sz w:val="32"/>
          <w:szCs w:val="32"/>
        </w:rPr>
        <w:t>3</w:t>
      </w:r>
      <w:r>
        <w:rPr>
          <w:rFonts w:hint="eastAsia" w:ascii="仿宋_GB2312" w:eastAsia="仿宋_GB2312"/>
          <w:color w:val="000000"/>
          <w:sz w:val="32"/>
          <w:szCs w:val="32"/>
        </w:rPr>
        <w:t>倍奖励。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5C6F"/>
    <w:rsid w:val="000F3F6E"/>
    <w:rsid w:val="00106D8C"/>
    <w:rsid w:val="00123311"/>
    <w:rsid w:val="00127A84"/>
    <w:rsid w:val="001F4D9B"/>
    <w:rsid w:val="00512CF5"/>
    <w:rsid w:val="005A0DD4"/>
    <w:rsid w:val="006665F2"/>
    <w:rsid w:val="006E1516"/>
    <w:rsid w:val="00706C75"/>
    <w:rsid w:val="007B28D7"/>
    <w:rsid w:val="008B3BA5"/>
    <w:rsid w:val="0093140D"/>
    <w:rsid w:val="009E77DF"/>
    <w:rsid w:val="00A5545F"/>
    <w:rsid w:val="00A615EC"/>
    <w:rsid w:val="00A86514"/>
    <w:rsid w:val="00B23765"/>
    <w:rsid w:val="00B526BB"/>
    <w:rsid w:val="00B8083F"/>
    <w:rsid w:val="00BD1B38"/>
    <w:rsid w:val="00BD516B"/>
    <w:rsid w:val="00D41C70"/>
    <w:rsid w:val="00DB157E"/>
    <w:rsid w:val="00DD5C6F"/>
    <w:rsid w:val="00E043B5"/>
    <w:rsid w:val="00F10324"/>
    <w:rsid w:val="00F55166"/>
    <w:rsid w:val="00FF6715"/>
    <w:rsid w:val="016A7F6B"/>
    <w:rsid w:val="01F74462"/>
    <w:rsid w:val="022854F8"/>
    <w:rsid w:val="033A6E3E"/>
    <w:rsid w:val="0389390B"/>
    <w:rsid w:val="049332F3"/>
    <w:rsid w:val="069901D4"/>
    <w:rsid w:val="07764AA3"/>
    <w:rsid w:val="07D25DE8"/>
    <w:rsid w:val="08C07392"/>
    <w:rsid w:val="093A671E"/>
    <w:rsid w:val="0A9A3E13"/>
    <w:rsid w:val="0AF02C57"/>
    <w:rsid w:val="0CE5641B"/>
    <w:rsid w:val="0EC26B70"/>
    <w:rsid w:val="0F0C7F76"/>
    <w:rsid w:val="10364205"/>
    <w:rsid w:val="1118449A"/>
    <w:rsid w:val="120E2B45"/>
    <w:rsid w:val="17915769"/>
    <w:rsid w:val="17E446FB"/>
    <w:rsid w:val="183545DB"/>
    <w:rsid w:val="1A0C7EAE"/>
    <w:rsid w:val="1B1A3F56"/>
    <w:rsid w:val="1E127874"/>
    <w:rsid w:val="1F3D46CC"/>
    <w:rsid w:val="20340A2A"/>
    <w:rsid w:val="220B1180"/>
    <w:rsid w:val="247905A8"/>
    <w:rsid w:val="248D03AC"/>
    <w:rsid w:val="24BA7411"/>
    <w:rsid w:val="25A708F8"/>
    <w:rsid w:val="25D77949"/>
    <w:rsid w:val="263A435D"/>
    <w:rsid w:val="2A15253D"/>
    <w:rsid w:val="2A5B559B"/>
    <w:rsid w:val="2BA95A3D"/>
    <w:rsid w:val="2BCC12E3"/>
    <w:rsid w:val="2D2A1425"/>
    <w:rsid w:val="2DDA34C0"/>
    <w:rsid w:val="30054A2B"/>
    <w:rsid w:val="33B27EE5"/>
    <w:rsid w:val="35C4530B"/>
    <w:rsid w:val="36A65C3F"/>
    <w:rsid w:val="36C9311D"/>
    <w:rsid w:val="370B4157"/>
    <w:rsid w:val="37925AB1"/>
    <w:rsid w:val="389847C3"/>
    <w:rsid w:val="38DD4F70"/>
    <w:rsid w:val="3B804BC3"/>
    <w:rsid w:val="3C390851"/>
    <w:rsid w:val="3D343268"/>
    <w:rsid w:val="3EE66D3B"/>
    <w:rsid w:val="40AE083E"/>
    <w:rsid w:val="425874D1"/>
    <w:rsid w:val="425D434C"/>
    <w:rsid w:val="4288023B"/>
    <w:rsid w:val="437E305B"/>
    <w:rsid w:val="43822773"/>
    <w:rsid w:val="4563155A"/>
    <w:rsid w:val="45693E10"/>
    <w:rsid w:val="46462EF3"/>
    <w:rsid w:val="46EA0752"/>
    <w:rsid w:val="47291980"/>
    <w:rsid w:val="49C508FF"/>
    <w:rsid w:val="49CF3ECB"/>
    <w:rsid w:val="4A227CED"/>
    <w:rsid w:val="4CB10087"/>
    <w:rsid w:val="4D184380"/>
    <w:rsid w:val="4EE27CA4"/>
    <w:rsid w:val="51661EC4"/>
    <w:rsid w:val="51BC4592"/>
    <w:rsid w:val="532D5AA4"/>
    <w:rsid w:val="53AA1FD1"/>
    <w:rsid w:val="54573984"/>
    <w:rsid w:val="54841E58"/>
    <w:rsid w:val="57193E63"/>
    <w:rsid w:val="573A418E"/>
    <w:rsid w:val="576A131E"/>
    <w:rsid w:val="5A744BFF"/>
    <w:rsid w:val="5D0C3DC5"/>
    <w:rsid w:val="5D3047D1"/>
    <w:rsid w:val="5E5C7E0E"/>
    <w:rsid w:val="5E970DA6"/>
    <w:rsid w:val="6219319F"/>
    <w:rsid w:val="63206A34"/>
    <w:rsid w:val="63DF7564"/>
    <w:rsid w:val="64851B57"/>
    <w:rsid w:val="65081DB1"/>
    <w:rsid w:val="66B54723"/>
    <w:rsid w:val="67954361"/>
    <w:rsid w:val="68F902B1"/>
    <w:rsid w:val="6A7F38AB"/>
    <w:rsid w:val="6B14569A"/>
    <w:rsid w:val="6C236AF8"/>
    <w:rsid w:val="6CE00771"/>
    <w:rsid w:val="6D1A5E4D"/>
    <w:rsid w:val="6D3949D1"/>
    <w:rsid w:val="6D3B2EA7"/>
    <w:rsid w:val="6F1A27FF"/>
    <w:rsid w:val="6F6D6CE4"/>
    <w:rsid w:val="6FA03013"/>
    <w:rsid w:val="70F0638A"/>
    <w:rsid w:val="7452696E"/>
    <w:rsid w:val="789B148C"/>
    <w:rsid w:val="7A50377B"/>
    <w:rsid w:val="7B721A61"/>
    <w:rsid w:val="7F0A1909"/>
    <w:rsid w:val="7FBC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0"/>
    <w:qFormat/>
    <w:uiPriority w:val="0"/>
    <w:pPr>
      <w:ind w:left="100" w:leftChars="2500"/>
    </w:p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宋体" w:hAnsi="宋体"/>
      <w:kern w:val="0"/>
      <w:sz w:val="24"/>
    </w:rPr>
  </w:style>
  <w:style w:type="character" w:styleId="9">
    <w:name w:val="Strong"/>
    <w:basedOn w:val="8"/>
    <w:qFormat/>
    <w:uiPriority w:val="0"/>
    <w:rPr>
      <w:b/>
      <w:bCs/>
    </w:rPr>
  </w:style>
  <w:style w:type="character" w:styleId="10">
    <w:name w:val="FollowedHyperlink"/>
    <w:basedOn w:val="8"/>
    <w:qFormat/>
    <w:uiPriority w:val="0"/>
    <w:rPr>
      <w:color w:val="000000"/>
      <w:u w:val="none"/>
    </w:rPr>
  </w:style>
  <w:style w:type="character" w:styleId="11">
    <w:name w:val="Hyperlink"/>
    <w:basedOn w:val="8"/>
    <w:qFormat/>
    <w:uiPriority w:val="0"/>
    <w:rPr>
      <w:color w:val="0000FF"/>
      <w:u w:val="single"/>
    </w:rPr>
  </w:style>
  <w:style w:type="character" w:customStyle="1" w:styleId="12">
    <w:name w:val="font01"/>
    <w:qFormat/>
    <w:uiPriority w:val="0"/>
    <w:rPr>
      <w:rFonts w:hint="eastAsia" w:ascii="宋体" w:hAnsi="宋体" w:eastAsia="宋体" w:cs="宋体"/>
      <w:b/>
      <w:color w:val="000000"/>
      <w:sz w:val="18"/>
      <w:szCs w:val="18"/>
      <w:u w:val="none"/>
    </w:rPr>
  </w:style>
  <w:style w:type="character" w:customStyle="1" w:styleId="13">
    <w:name w:val="hover39"/>
    <w:basedOn w:val="8"/>
    <w:qFormat/>
    <w:uiPriority w:val="0"/>
    <w:rPr>
      <w:color w:val="D12500"/>
      <w:u w:val="single"/>
    </w:rPr>
  </w:style>
  <w:style w:type="character" w:customStyle="1" w:styleId="14">
    <w:name w:val="last-child"/>
    <w:basedOn w:val="8"/>
    <w:qFormat/>
    <w:uiPriority w:val="0"/>
  </w:style>
  <w:style w:type="character" w:customStyle="1" w:styleId="15">
    <w:name w:val="hover40"/>
    <w:basedOn w:val="8"/>
    <w:qFormat/>
    <w:uiPriority w:val="0"/>
    <w:rPr>
      <w:color w:val="D12500"/>
      <w:u w:val="single"/>
    </w:rPr>
  </w:style>
  <w:style w:type="character" w:customStyle="1" w:styleId="16">
    <w:name w:val="hover36"/>
    <w:basedOn w:val="8"/>
    <w:qFormat/>
    <w:uiPriority w:val="0"/>
    <w:rPr>
      <w:color w:val="D12500"/>
      <w:u w:val="single"/>
    </w:rPr>
  </w:style>
  <w:style w:type="character" w:customStyle="1" w:styleId="17">
    <w:name w:val="hover42"/>
    <w:basedOn w:val="8"/>
    <w:qFormat/>
    <w:uiPriority w:val="0"/>
    <w:rPr>
      <w:color w:val="D12500"/>
      <w:u w:val="single"/>
    </w:rPr>
  </w:style>
  <w:style w:type="character" w:customStyle="1" w:styleId="18">
    <w:name w:val="页眉 Char"/>
    <w:basedOn w:val="8"/>
    <w:link w:val="5"/>
    <w:qFormat/>
    <w:uiPriority w:val="0"/>
    <w:rPr>
      <w:rFonts w:ascii="Calibri" w:hAnsi="Calibri" w:eastAsia="宋体" w:cs="Times New Roman"/>
      <w:kern w:val="2"/>
      <w:sz w:val="18"/>
      <w:szCs w:val="18"/>
    </w:rPr>
  </w:style>
  <w:style w:type="character" w:customStyle="1" w:styleId="19">
    <w:name w:val="页脚 Char"/>
    <w:basedOn w:val="8"/>
    <w:link w:val="4"/>
    <w:qFormat/>
    <w:uiPriority w:val="0"/>
    <w:rPr>
      <w:rFonts w:ascii="Calibri" w:hAnsi="Calibri" w:eastAsia="宋体" w:cs="Times New Roman"/>
      <w:kern w:val="2"/>
      <w:sz w:val="18"/>
      <w:szCs w:val="18"/>
    </w:rPr>
  </w:style>
  <w:style w:type="character" w:customStyle="1" w:styleId="20">
    <w:name w:val="日期 Char"/>
    <w:basedOn w:val="8"/>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4605</Words>
  <Characters>1304</Characters>
  <Lines>10</Lines>
  <Paragraphs>11</Paragraphs>
  <TotalTime>29</TotalTime>
  <ScaleCrop>false</ScaleCrop>
  <LinksUpToDate>false</LinksUpToDate>
  <CharactersWithSpaces>5898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团子</cp:lastModifiedBy>
  <dcterms:modified xsi:type="dcterms:W3CDTF">2020-02-25T01:55:17Z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