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ascii="宋体" w:hAnsi="宋体" w:eastAsia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Cs w:val="32"/>
        </w:rPr>
        <w:t>附件1</w:t>
      </w:r>
    </w:p>
    <w:p>
      <w:pPr>
        <w:pStyle w:val="6"/>
        <w:spacing w:line="560" w:lineRule="exact"/>
        <w:jc w:val="center"/>
        <w:rPr>
          <w:rFonts w:ascii="华康简标题宋" w:hAnsi="华康简标题宋" w:eastAsia="华康简标题宋" w:cs="方正小标宋_GBK"/>
          <w:color w:val="000000"/>
          <w:sz w:val="44"/>
          <w:szCs w:val="32"/>
        </w:rPr>
      </w:pPr>
      <w:r>
        <w:rPr>
          <w:rFonts w:hint="eastAsia" w:eastAsia="华康简标题宋" w:cs="方正小标宋_GBK"/>
          <w:color w:val="000000"/>
          <w:sz w:val="44"/>
        </w:rPr>
        <w:t>越秀区人民政府办公室属下事业单位</w:t>
      </w:r>
      <w:r>
        <w:rPr>
          <w:rFonts w:hint="eastAsia" w:ascii="华康简标题宋" w:hAnsi="华康简标题宋" w:eastAsia="华康简标题宋" w:cs="方正小标宋_GBK"/>
          <w:color w:val="000000"/>
          <w:sz w:val="44"/>
          <w:szCs w:val="32"/>
        </w:rPr>
        <w:t>选调职位表</w:t>
      </w:r>
    </w:p>
    <w:p>
      <w:pPr>
        <w:pStyle w:val="6"/>
        <w:spacing w:line="560" w:lineRule="exact"/>
        <w:jc w:val="center"/>
        <w:rPr>
          <w:rFonts w:eastAsia="华康简标题宋" w:cs="方正小标宋_GBK"/>
          <w:color w:val="000000"/>
          <w:sz w:val="44"/>
        </w:rPr>
      </w:pPr>
    </w:p>
    <w:tbl>
      <w:tblPr>
        <w:tblStyle w:val="3"/>
        <w:tblW w:w="149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92"/>
        <w:gridCol w:w="992"/>
        <w:gridCol w:w="851"/>
        <w:gridCol w:w="1906"/>
        <w:gridCol w:w="1985"/>
        <w:gridCol w:w="1417"/>
        <w:gridCol w:w="2410"/>
        <w:gridCol w:w="1559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选调单位名称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选调职位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职位代码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选调人数</w:t>
            </w:r>
          </w:p>
        </w:tc>
        <w:tc>
          <w:tcPr>
            <w:tcW w:w="3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学历及学位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资格条件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研究生</w:t>
            </w: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广州市越秀区</w:t>
            </w:r>
          </w:p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城市运行综合指挥中心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管理人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员（九级职员，管理岗）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本科学历、学士学位及以上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在编、在职（岗）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的越秀区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内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工作满一年的公益一类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事业单位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管理及专技岗位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周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岁以下（19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84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日后出生）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1660"/>
    <w:rsid w:val="1FAD7FD5"/>
    <w:rsid w:val="3A1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2020-02-26T07:36:00Z</dcterms:created>
  <dc:creator>政务科（外事科、政务公开办）</dc:creator>
  <cp:lastModifiedBy>ぺ灬cc果冻ル</cp:lastModifiedBy>
  <dcterms:modified xsi:type="dcterms:W3CDTF">2020-02-28T02:50:44Z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