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0"/>
        <w:gridCol w:w="919"/>
        <w:gridCol w:w="1045"/>
        <w:gridCol w:w="860"/>
        <w:gridCol w:w="3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招聘岗位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招聘人数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招聘对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1"/>
                <w:szCs w:val="31"/>
              </w:rPr>
              <w:t>象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学历</w:t>
            </w:r>
          </w:p>
        </w:tc>
        <w:tc>
          <w:tcPr>
            <w:tcW w:w="7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具体要求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文员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社会人员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大专</w:t>
            </w:r>
          </w:p>
        </w:tc>
        <w:tc>
          <w:tcPr>
            <w:tcW w:w="72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40周岁及以下、较适合女性、身体健康、品行端正、具有较强的服务意识和责任意识、服从工作安排，、三班制，热爱文字工作，具备熟练使用office办公软件以及进行文字编辑和加工的能力。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救助    管理员</w:t>
            </w:r>
          </w:p>
        </w:tc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社会人员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大专</w:t>
            </w:r>
          </w:p>
        </w:tc>
        <w:tc>
          <w:tcPr>
            <w:tcW w:w="72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 xml:space="preserve">35周岁及以下、较适合男性、身体健康、品行端正、三班制，热爱救助事业、富有爱心、具有较强的服务意识和责任意识、服从工作安排。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2020-02-28T03:49:13Z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