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left"/>
        <w:rPr>
          <w:rFonts w:ascii="黑体" w:eastAsia="黑体"/>
          <w:sz w:val="32"/>
          <w:szCs w:val="32"/>
        </w:rPr>
      </w:pPr>
      <w:bookmarkStart w:id="0" w:name="_GoBack"/>
      <w:bookmarkEnd w:id="0"/>
      <w:r>
        <w:rPr>
          <w:rFonts w:hint="eastAsia" w:ascii="黑体" w:eastAsia="黑体"/>
          <w:sz w:val="32"/>
          <w:szCs w:val="32"/>
        </w:rPr>
        <w:t>附件</w:t>
      </w:r>
      <w:r>
        <w:rPr>
          <w:rFonts w:ascii="黑体" w:eastAsia="黑体"/>
          <w:sz w:val="32"/>
          <w:szCs w:val="32"/>
        </w:rPr>
        <w:t>2</w:t>
      </w:r>
    </w:p>
    <w:p>
      <w:pPr>
        <w:spacing w:line="576" w:lineRule="exact"/>
        <w:jc w:val="center"/>
        <w:rPr>
          <w:rFonts w:ascii="方正小标宋简体" w:eastAsia="方正小标宋简体"/>
          <w:b/>
          <w:w w:val="70"/>
          <w:sz w:val="44"/>
          <w:szCs w:val="44"/>
        </w:rPr>
      </w:pPr>
      <w:r>
        <w:rPr>
          <w:rFonts w:hint="eastAsia" w:ascii="方正小标宋简体" w:eastAsia="方正小标宋简体"/>
          <w:b/>
          <w:w w:val="70"/>
          <w:sz w:val="44"/>
          <w:szCs w:val="44"/>
        </w:rPr>
        <w:t>旺苍县部分事业单位</w:t>
      </w:r>
      <w:r>
        <w:rPr>
          <w:rFonts w:ascii="方正小标宋简体" w:eastAsia="方正小标宋简体"/>
          <w:b/>
          <w:w w:val="70"/>
          <w:sz w:val="44"/>
          <w:szCs w:val="44"/>
        </w:rPr>
        <w:t>2020</w:t>
      </w:r>
      <w:r>
        <w:rPr>
          <w:rFonts w:hint="eastAsia" w:ascii="方正小标宋简体" w:eastAsia="方正小标宋简体"/>
          <w:b/>
          <w:w w:val="70"/>
          <w:sz w:val="44"/>
          <w:szCs w:val="44"/>
        </w:rPr>
        <w:t>年公开考核招聘疫情防控卫生专业技术人员岗位条件一览表</w:t>
      </w:r>
    </w:p>
    <w:tbl>
      <w:tblPr>
        <w:tblStyle w:val="2"/>
        <w:tblW w:w="14595" w:type="dxa"/>
        <w:tblInd w:w="93" w:type="dxa"/>
        <w:tblLayout w:type="fixed"/>
        <w:tblCellMar>
          <w:top w:w="0" w:type="dxa"/>
          <w:left w:w="108" w:type="dxa"/>
          <w:bottom w:w="0" w:type="dxa"/>
          <w:right w:w="108" w:type="dxa"/>
        </w:tblCellMar>
      </w:tblPr>
      <w:tblGrid>
        <w:gridCol w:w="482"/>
        <w:gridCol w:w="1200"/>
        <w:gridCol w:w="742"/>
        <w:gridCol w:w="902"/>
        <w:gridCol w:w="942"/>
        <w:gridCol w:w="631"/>
        <w:gridCol w:w="710"/>
        <w:gridCol w:w="637"/>
        <w:gridCol w:w="1547"/>
        <w:gridCol w:w="694"/>
        <w:gridCol w:w="694"/>
        <w:gridCol w:w="816"/>
        <w:gridCol w:w="1692"/>
        <w:gridCol w:w="2906"/>
      </w:tblGrid>
      <w:tr>
        <w:tblPrEx>
          <w:tblCellMar>
            <w:top w:w="0" w:type="dxa"/>
            <w:left w:w="108" w:type="dxa"/>
            <w:bottom w:w="0" w:type="dxa"/>
            <w:right w:w="108" w:type="dxa"/>
          </w:tblCellMar>
        </w:tblPrEx>
        <w:trPr>
          <w:trHeight w:val="722" w:hRule="atLeast"/>
        </w:trPr>
        <w:tc>
          <w:tcPr>
            <w:tcW w:w="48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序号</w:t>
            </w:r>
          </w:p>
        </w:tc>
        <w:tc>
          <w:tcPr>
            <w:tcW w:w="1200"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主管部门</w:t>
            </w:r>
          </w:p>
        </w:tc>
        <w:tc>
          <w:tcPr>
            <w:tcW w:w="74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招聘单位</w:t>
            </w:r>
          </w:p>
        </w:tc>
        <w:tc>
          <w:tcPr>
            <w:tcW w:w="90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招聘岗位</w:t>
            </w:r>
          </w:p>
        </w:tc>
        <w:tc>
          <w:tcPr>
            <w:tcW w:w="94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岗位编码</w:t>
            </w:r>
          </w:p>
        </w:tc>
        <w:tc>
          <w:tcPr>
            <w:tcW w:w="631"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招聘人数</w:t>
            </w:r>
          </w:p>
        </w:tc>
        <w:tc>
          <w:tcPr>
            <w:tcW w:w="710"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学历</w:t>
            </w:r>
          </w:p>
        </w:tc>
        <w:tc>
          <w:tcPr>
            <w:tcW w:w="637"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学位</w:t>
            </w:r>
          </w:p>
        </w:tc>
        <w:tc>
          <w:tcPr>
            <w:tcW w:w="1547"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专</w:t>
            </w:r>
            <w:r>
              <w:rPr>
                <w:rFonts w:ascii="黑体" w:hAnsi="黑体" w:eastAsia="黑体" w:cs="宋体"/>
                <w:color w:val="000000"/>
                <w:kern w:val="0"/>
                <w:sz w:val="20"/>
                <w:szCs w:val="20"/>
              </w:rPr>
              <w:t xml:space="preserve">    </w:t>
            </w:r>
            <w:r>
              <w:rPr>
                <w:rFonts w:hint="eastAsia" w:ascii="黑体" w:hAnsi="黑体" w:eastAsia="黑体" w:cs="宋体"/>
                <w:color w:val="000000"/>
                <w:kern w:val="0"/>
                <w:sz w:val="20"/>
                <w:szCs w:val="20"/>
              </w:rPr>
              <w:t>业</w:t>
            </w:r>
          </w:p>
        </w:tc>
        <w:tc>
          <w:tcPr>
            <w:tcW w:w="694"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毕业院校</w:t>
            </w:r>
          </w:p>
        </w:tc>
        <w:tc>
          <w:tcPr>
            <w:tcW w:w="694"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专业技术职务任职资格</w:t>
            </w:r>
          </w:p>
        </w:tc>
        <w:tc>
          <w:tcPr>
            <w:tcW w:w="816"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执（职）业资格</w:t>
            </w:r>
          </w:p>
        </w:tc>
        <w:tc>
          <w:tcPr>
            <w:tcW w:w="1692"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年龄</w:t>
            </w:r>
          </w:p>
        </w:tc>
        <w:tc>
          <w:tcPr>
            <w:tcW w:w="2906" w:type="dxa"/>
            <w:tcBorders>
              <w:top w:val="single" w:color="auto" w:sz="4" w:space="0"/>
              <w:left w:val="nil"/>
              <w:bottom w:val="single" w:color="auto" w:sz="4" w:space="0"/>
              <w:right w:val="single" w:color="auto" w:sz="4" w:space="0"/>
            </w:tcBorders>
            <w:vAlign w:val="center"/>
          </w:tcPr>
          <w:p>
            <w:pPr>
              <w:widowControl/>
              <w:jc w:val="center"/>
              <w:rPr>
                <w:rFonts w:ascii="黑体" w:hAnsi="黑体" w:eastAsia="黑体" w:cs="宋体"/>
                <w:color w:val="000000"/>
                <w:kern w:val="0"/>
                <w:sz w:val="20"/>
                <w:szCs w:val="20"/>
              </w:rPr>
            </w:pPr>
            <w:r>
              <w:rPr>
                <w:rFonts w:hint="eastAsia" w:ascii="黑体" w:hAnsi="黑体" w:eastAsia="黑体" w:cs="宋体"/>
                <w:color w:val="000000"/>
                <w:kern w:val="0"/>
                <w:sz w:val="20"/>
                <w:szCs w:val="20"/>
              </w:rPr>
              <w:t>备</w:t>
            </w:r>
            <w:r>
              <w:rPr>
                <w:rFonts w:ascii="黑体" w:hAnsi="黑体" w:eastAsia="黑体" w:cs="宋体"/>
                <w:color w:val="000000"/>
                <w:kern w:val="0"/>
                <w:sz w:val="20"/>
                <w:szCs w:val="20"/>
              </w:rPr>
              <w:t xml:space="preserve">  </w:t>
            </w:r>
            <w:r>
              <w:rPr>
                <w:rFonts w:hint="eastAsia" w:ascii="黑体" w:hAnsi="黑体" w:eastAsia="黑体" w:cs="宋体"/>
                <w:color w:val="000000"/>
                <w:kern w:val="0"/>
                <w:sz w:val="20"/>
                <w:szCs w:val="20"/>
              </w:rPr>
              <w:t>注</w:t>
            </w:r>
          </w:p>
        </w:tc>
      </w:tr>
      <w:tr>
        <w:tblPrEx>
          <w:tblCellMar>
            <w:top w:w="0" w:type="dxa"/>
            <w:left w:w="108" w:type="dxa"/>
            <w:bottom w:w="0" w:type="dxa"/>
            <w:right w:w="108" w:type="dxa"/>
          </w:tblCellMar>
        </w:tblPrEx>
        <w:trPr>
          <w:trHeight w:val="843" w:hRule="atLeast"/>
        </w:trPr>
        <w:tc>
          <w:tcPr>
            <w:tcW w:w="482"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cs="宋体"/>
                <w:kern w:val="0"/>
                <w:sz w:val="18"/>
                <w:szCs w:val="18"/>
              </w:rPr>
              <w:t>1</w:t>
            </w:r>
          </w:p>
        </w:tc>
        <w:tc>
          <w:tcPr>
            <w:tcW w:w="1200"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cs="宋体"/>
                <w:kern w:val="0"/>
                <w:sz w:val="18"/>
                <w:szCs w:val="18"/>
              </w:rPr>
              <w:t>旺苍县卫生</w:t>
            </w:r>
          </w:p>
          <w:p>
            <w:pPr>
              <w:widowControl/>
              <w:jc w:val="center"/>
              <w:rPr>
                <w:rFonts w:ascii="宋体" w:cs="宋体"/>
                <w:kern w:val="0"/>
                <w:sz w:val="18"/>
                <w:szCs w:val="18"/>
              </w:rPr>
            </w:pPr>
            <w:r>
              <w:rPr>
                <w:rFonts w:hint="eastAsia" w:ascii="宋体" w:cs="宋体"/>
                <w:kern w:val="0"/>
                <w:sz w:val="18"/>
                <w:szCs w:val="18"/>
              </w:rPr>
              <w:t>健康局</w:t>
            </w:r>
          </w:p>
        </w:tc>
        <w:tc>
          <w:tcPr>
            <w:tcW w:w="742"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cs="宋体"/>
                <w:kern w:val="0"/>
                <w:sz w:val="18"/>
                <w:szCs w:val="18"/>
              </w:rPr>
              <w:t>旺苍县人民医院</w:t>
            </w:r>
          </w:p>
        </w:tc>
        <w:tc>
          <w:tcPr>
            <w:tcW w:w="902"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cs="宋体"/>
                <w:kern w:val="0"/>
                <w:sz w:val="18"/>
                <w:szCs w:val="18"/>
              </w:rPr>
              <w:t>急诊（专业技术岗位）</w:t>
            </w:r>
          </w:p>
        </w:tc>
        <w:tc>
          <w:tcPr>
            <w:tcW w:w="942"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cs="宋体"/>
                <w:kern w:val="0"/>
                <w:sz w:val="18"/>
                <w:szCs w:val="18"/>
              </w:rPr>
              <w:t>2020401</w:t>
            </w:r>
          </w:p>
        </w:tc>
        <w:tc>
          <w:tcPr>
            <w:tcW w:w="631"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cs="宋体"/>
                <w:kern w:val="0"/>
                <w:sz w:val="18"/>
                <w:szCs w:val="18"/>
              </w:rPr>
              <w:t>2</w:t>
            </w:r>
          </w:p>
        </w:tc>
        <w:tc>
          <w:tcPr>
            <w:tcW w:w="710"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cs="宋体"/>
                <w:kern w:val="0"/>
                <w:sz w:val="18"/>
                <w:szCs w:val="18"/>
              </w:rPr>
              <w:t>本科</w:t>
            </w:r>
          </w:p>
          <w:p>
            <w:pPr>
              <w:widowControl/>
              <w:jc w:val="center"/>
              <w:rPr>
                <w:rFonts w:ascii="宋体" w:cs="宋体"/>
                <w:kern w:val="0"/>
                <w:sz w:val="18"/>
                <w:szCs w:val="18"/>
              </w:rPr>
            </w:pPr>
            <w:r>
              <w:rPr>
                <w:rFonts w:hint="eastAsia" w:ascii="宋体" w:cs="宋体"/>
                <w:kern w:val="0"/>
                <w:sz w:val="18"/>
                <w:szCs w:val="18"/>
              </w:rPr>
              <w:t>及以上</w:t>
            </w:r>
          </w:p>
        </w:tc>
        <w:tc>
          <w:tcPr>
            <w:tcW w:w="637" w:type="dxa"/>
            <w:tcBorders>
              <w:top w:val="nil"/>
              <w:left w:val="nil"/>
              <w:bottom w:val="single" w:color="auto" w:sz="4" w:space="0"/>
              <w:right w:val="single" w:color="auto" w:sz="4" w:space="0"/>
            </w:tcBorders>
            <w:vAlign w:val="center"/>
          </w:tcPr>
          <w:p>
            <w:pPr>
              <w:widowControl/>
              <w:rPr>
                <w:rFonts w:ascii="宋体" w:cs="宋体"/>
                <w:kern w:val="0"/>
                <w:sz w:val="18"/>
                <w:szCs w:val="18"/>
              </w:rPr>
            </w:pPr>
          </w:p>
        </w:tc>
        <w:tc>
          <w:tcPr>
            <w:tcW w:w="1547"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内科学 /临床医学/急诊医学</w:t>
            </w:r>
          </w:p>
        </w:tc>
        <w:tc>
          <w:tcPr>
            <w:tcW w:w="694"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hAnsi="宋体" w:cs="宋体"/>
                <w:kern w:val="0"/>
                <w:sz w:val="18"/>
                <w:szCs w:val="18"/>
              </w:rPr>
              <w:t>全日制普通高校</w:t>
            </w:r>
          </w:p>
        </w:tc>
        <w:tc>
          <w:tcPr>
            <w:tcW w:w="694"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p>
        </w:tc>
        <w:tc>
          <w:tcPr>
            <w:tcW w:w="816"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cs="宋体"/>
                <w:kern w:val="0"/>
                <w:sz w:val="18"/>
                <w:szCs w:val="18"/>
              </w:rPr>
              <w:t>执业医师</w:t>
            </w:r>
          </w:p>
        </w:tc>
        <w:tc>
          <w:tcPr>
            <w:tcW w:w="1692"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30周岁及以下；主治医师资格人员年龄可放宽35周岁；副主任医师资格人员，年龄可放宽至45周岁</w:t>
            </w:r>
          </w:p>
        </w:tc>
        <w:tc>
          <w:tcPr>
            <w:tcW w:w="2906"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2019年相应专业本科毕业生执业资格可暂不作要求；具有相应专业中级及以上职称人员毕业院校可不受全日制普通高校限制。</w:t>
            </w:r>
          </w:p>
        </w:tc>
      </w:tr>
      <w:tr>
        <w:tblPrEx>
          <w:tblCellMar>
            <w:top w:w="0" w:type="dxa"/>
            <w:left w:w="108" w:type="dxa"/>
            <w:bottom w:w="0" w:type="dxa"/>
            <w:right w:w="108" w:type="dxa"/>
          </w:tblCellMar>
        </w:tblPrEx>
        <w:trPr>
          <w:trHeight w:val="843" w:hRule="atLeast"/>
        </w:trPr>
        <w:tc>
          <w:tcPr>
            <w:tcW w:w="482"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cs="宋体"/>
                <w:kern w:val="0"/>
                <w:sz w:val="18"/>
                <w:szCs w:val="18"/>
              </w:rPr>
              <w:t>2</w:t>
            </w:r>
          </w:p>
        </w:tc>
        <w:tc>
          <w:tcPr>
            <w:tcW w:w="1200"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cs="宋体"/>
                <w:kern w:val="0"/>
                <w:sz w:val="18"/>
                <w:szCs w:val="18"/>
              </w:rPr>
              <w:t>旺苍县卫生</w:t>
            </w:r>
          </w:p>
          <w:p>
            <w:pPr>
              <w:widowControl/>
              <w:jc w:val="center"/>
              <w:rPr>
                <w:rFonts w:ascii="宋体" w:cs="宋体"/>
                <w:kern w:val="0"/>
                <w:sz w:val="18"/>
                <w:szCs w:val="18"/>
              </w:rPr>
            </w:pPr>
            <w:r>
              <w:rPr>
                <w:rFonts w:hint="eastAsia" w:ascii="宋体" w:cs="宋体"/>
                <w:kern w:val="0"/>
                <w:sz w:val="18"/>
                <w:szCs w:val="18"/>
              </w:rPr>
              <w:t>健康局</w:t>
            </w:r>
          </w:p>
        </w:tc>
        <w:tc>
          <w:tcPr>
            <w:tcW w:w="742"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cs="宋体"/>
                <w:kern w:val="0"/>
                <w:sz w:val="18"/>
                <w:szCs w:val="18"/>
              </w:rPr>
              <w:t>旺苍县中医院</w:t>
            </w:r>
          </w:p>
        </w:tc>
        <w:tc>
          <w:tcPr>
            <w:tcW w:w="902" w:type="dxa"/>
            <w:tcBorders>
              <w:top w:val="nil"/>
              <w:left w:val="nil"/>
              <w:bottom w:val="single" w:color="auto" w:sz="4" w:space="0"/>
              <w:right w:val="single" w:color="auto" w:sz="4" w:space="0"/>
            </w:tcBorders>
            <w:vAlign w:val="center"/>
          </w:tcPr>
          <w:p>
            <w:pPr>
              <w:jc w:val="center"/>
              <w:rPr>
                <w:rFonts w:ascii="宋体" w:hAnsi="宋体" w:cs="宋体"/>
                <w:b/>
                <w:bCs/>
                <w:sz w:val="18"/>
                <w:szCs w:val="18"/>
              </w:rPr>
            </w:pPr>
            <w:r>
              <w:rPr>
                <w:rFonts w:hint="eastAsia" w:ascii="宋体" w:cs="宋体"/>
                <w:kern w:val="0"/>
                <w:sz w:val="18"/>
                <w:szCs w:val="18"/>
              </w:rPr>
              <w:t>急诊（专业技术岗位）</w:t>
            </w:r>
          </w:p>
        </w:tc>
        <w:tc>
          <w:tcPr>
            <w:tcW w:w="942"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cs="宋体"/>
                <w:kern w:val="0"/>
                <w:sz w:val="18"/>
                <w:szCs w:val="18"/>
              </w:rPr>
              <w:t>2020402</w:t>
            </w:r>
          </w:p>
        </w:tc>
        <w:tc>
          <w:tcPr>
            <w:tcW w:w="631"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cs="宋体"/>
                <w:kern w:val="0"/>
                <w:sz w:val="18"/>
                <w:szCs w:val="18"/>
              </w:rPr>
              <w:t>2</w:t>
            </w:r>
          </w:p>
        </w:tc>
        <w:tc>
          <w:tcPr>
            <w:tcW w:w="710"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cs="宋体"/>
                <w:kern w:val="0"/>
                <w:sz w:val="18"/>
                <w:szCs w:val="18"/>
              </w:rPr>
              <w:t>本科</w:t>
            </w:r>
          </w:p>
          <w:p>
            <w:pPr>
              <w:widowControl/>
              <w:jc w:val="center"/>
              <w:rPr>
                <w:rFonts w:ascii="宋体" w:cs="宋体"/>
                <w:kern w:val="0"/>
                <w:sz w:val="18"/>
                <w:szCs w:val="18"/>
              </w:rPr>
            </w:pPr>
            <w:r>
              <w:rPr>
                <w:rFonts w:hint="eastAsia" w:ascii="宋体" w:cs="宋体"/>
                <w:kern w:val="0"/>
                <w:sz w:val="18"/>
                <w:szCs w:val="18"/>
              </w:rPr>
              <w:t>及以上</w:t>
            </w:r>
          </w:p>
          <w:p>
            <w:pPr>
              <w:widowControl/>
              <w:rPr>
                <w:rFonts w:ascii="宋体" w:cs="宋体"/>
                <w:kern w:val="0"/>
                <w:sz w:val="18"/>
                <w:szCs w:val="18"/>
              </w:rPr>
            </w:pPr>
          </w:p>
        </w:tc>
        <w:tc>
          <w:tcPr>
            <w:tcW w:w="637"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p>
        </w:tc>
        <w:tc>
          <w:tcPr>
            <w:tcW w:w="1547" w:type="dxa"/>
            <w:tcBorders>
              <w:top w:val="nil"/>
              <w:left w:val="nil"/>
              <w:bottom w:val="single" w:color="auto" w:sz="4" w:space="0"/>
              <w:right w:val="single" w:color="auto" w:sz="4" w:space="0"/>
            </w:tcBorders>
            <w:vAlign w:val="center"/>
          </w:tcPr>
          <w:p>
            <w:pPr>
              <w:widowControl/>
              <w:rPr>
                <w:rFonts w:ascii="宋体" w:hAnsi="宋体" w:cs="宋体"/>
                <w:kern w:val="0"/>
                <w:sz w:val="18"/>
                <w:szCs w:val="18"/>
              </w:rPr>
            </w:pPr>
            <w:r>
              <w:rPr>
                <w:rFonts w:hint="eastAsia" w:ascii="宋体" w:hAnsi="宋体" w:cs="宋体"/>
                <w:kern w:val="0"/>
                <w:sz w:val="18"/>
                <w:szCs w:val="18"/>
              </w:rPr>
              <w:t>内科学 /临床医学/急诊医学</w:t>
            </w:r>
          </w:p>
        </w:tc>
        <w:tc>
          <w:tcPr>
            <w:tcW w:w="694" w:type="dxa"/>
            <w:tcBorders>
              <w:top w:val="nil"/>
              <w:left w:val="nil"/>
              <w:bottom w:val="single" w:color="auto" w:sz="4" w:space="0"/>
              <w:right w:val="single" w:color="auto" w:sz="4" w:space="0"/>
            </w:tcBorders>
            <w:vAlign w:val="center"/>
          </w:tcPr>
          <w:p>
            <w:pPr>
              <w:rPr>
                <w:rFonts w:ascii="宋体" w:hAnsi="宋体" w:cs="宋体"/>
                <w:sz w:val="18"/>
                <w:szCs w:val="18"/>
              </w:rPr>
            </w:pPr>
          </w:p>
          <w:p>
            <w:pPr>
              <w:widowControl/>
              <w:rPr>
                <w:rFonts w:ascii="宋体" w:cs="宋体"/>
                <w:kern w:val="0"/>
                <w:sz w:val="18"/>
                <w:szCs w:val="18"/>
              </w:rPr>
            </w:pPr>
          </w:p>
        </w:tc>
        <w:tc>
          <w:tcPr>
            <w:tcW w:w="694"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p>
        </w:tc>
        <w:tc>
          <w:tcPr>
            <w:tcW w:w="816" w:type="dxa"/>
            <w:tcBorders>
              <w:top w:val="nil"/>
              <w:left w:val="nil"/>
              <w:bottom w:val="single" w:color="auto" w:sz="4" w:space="0"/>
              <w:right w:val="single" w:color="auto" w:sz="4" w:space="0"/>
            </w:tcBorders>
            <w:vAlign w:val="center"/>
          </w:tcPr>
          <w:p>
            <w:pPr>
              <w:widowControl/>
              <w:jc w:val="center"/>
              <w:rPr>
                <w:rFonts w:ascii="宋体" w:cs="宋体"/>
                <w:kern w:val="0"/>
                <w:sz w:val="18"/>
                <w:szCs w:val="18"/>
              </w:rPr>
            </w:pPr>
            <w:r>
              <w:rPr>
                <w:rFonts w:hint="eastAsia" w:ascii="宋体" w:cs="宋体"/>
                <w:kern w:val="0"/>
                <w:sz w:val="18"/>
                <w:szCs w:val="18"/>
              </w:rPr>
              <w:t>执业医师</w:t>
            </w:r>
          </w:p>
        </w:tc>
        <w:tc>
          <w:tcPr>
            <w:tcW w:w="1692" w:type="dxa"/>
            <w:tcBorders>
              <w:top w:val="nil"/>
              <w:left w:val="nil"/>
              <w:bottom w:val="single" w:color="auto" w:sz="4" w:space="0"/>
              <w:right w:val="single" w:color="auto" w:sz="4" w:space="0"/>
            </w:tcBorders>
            <w:vAlign w:val="center"/>
          </w:tcPr>
          <w:p>
            <w:pPr>
              <w:widowControl/>
              <w:spacing w:line="240" w:lineRule="exact"/>
              <w:rPr>
                <w:rFonts w:ascii="宋体" w:hAnsi="宋体" w:cs="宋体"/>
                <w:kern w:val="0"/>
                <w:sz w:val="18"/>
                <w:szCs w:val="18"/>
              </w:rPr>
            </w:pPr>
            <w:r>
              <w:rPr>
                <w:rFonts w:hint="eastAsia" w:ascii="宋体" w:hAnsi="宋体" w:cs="宋体"/>
                <w:kern w:val="0"/>
                <w:sz w:val="18"/>
                <w:szCs w:val="18"/>
              </w:rPr>
              <w:t>35周岁及以下</w:t>
            </w:r>
          </w:p>
        </w:tc>
        <w:tc>
          <w:tcPr>
            <w:tcW w:w="2906" w:type="dxa"/>
            <w:tcBorders>
              <w:top w:val="nil"/>
              <w:left w:val="nil"/>
              <w:bottom w:val="single" w:color="auto" w:sz="4" w:space="0"/>
              <w:right w:val="single" w:color="auto" w:sz="4" w:space="0"/>
            </w:tcBorders>
            <w:vAlign w:val="center"/>
          </w:tcPr>
          <w:p>
            <w:pPr>
              <w:widowControl/>
              <w:spacing w:line="240" w:lineRule="exact"/>
              <w:rPr>
                <w:rFonts w:ascii="宋体" w:hAnsi="宋体" w:cs="宋体"/>
                <w:kern w:val="0"/>
                <w:sz w:val="18"/>
                <w:szCs w:val="18"/>
              </w:rPr>
            </w:pPr>
            <w:r>
              <w:rPr>
                <w:rFonts w:hint="eastAsia" w:ascii="宋体" w:hAnsi="宋体" w:cs="宋体"/>
                <w:kern w:val="0"/>
                <w:sz w:val="18"/>
                <w:szCs w:val="18"/>
              </w:rPr>
              <w:t>2019年相应专业全日制本科毕业生执业资格可暂不作要求；具有相应专业中级以上职称人员学历可放宽到大专；规培生优先。</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9B57AE"/>
    <w:rsid w:val="3E8C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ぺ灬cc果冻ル</cp:lastModifiedBy>
  <dcterms:modified xsi:type="dcterms:W3CDTF">2020-03-02T04:13:08Z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