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Cs/>
          <w:sz w:val="32"/>
          <w:szCs w:val="32"/>
        </w:rPr>
      </w:pPr>
      <w:r>
        <w:rPr>
          <w:rFonts w:hint="eastAsia"/>
          <w:bCs/>
          <w:sz w:val="32"/>
          <w:szCs w:val="32"/>
        </w:rPr>
        <w:t>附件3</w:t>
      </w:r>
    </w:p>
    <w:p>
      <w:pPr>
        <w:jc w:val="center"/>
        <w:rPr>
          <w:b/>
          <w:bCs/>
          <w:sz w:val="44"/>
          <w:szCs w:val="44"/>
        </w:rPr>
      </w:pPr>
      <w:bookmarkStart w:id="0" w:name="_GoBack"/>
      <w:r>
        <w:rPr>
          <w:rFonts w:hint="eastAsia"/>
          <w:b/>
          <w:bCs/>
          <w:sz w:val="44"/>
          <w:szCs w:val="44"/>
        </w:rPr>
        <w:t>要素测评标准表</w:t>
      </w:r>
    </w:p>
    <w:bookmarkEnd w:id="0"/>
    <w:tbl>
      <w:tblPr>
        <w:tblStyle w:val="4"/>
        <w:tblpPr w:leftFromText="180" w:rightFromText="180" w:vertAnchor="text" w:horzAnchor="page" w:tblpXSpec="center" w:tblpY="283"/>
        <w:tblOverlap w:val="never"/>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785" w:type="dxa"/>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vAlign w:val="center"/>
          </w:tcPr>
          <w:p>
            <w:pPr>
              <w:pStyle w:val="5"/>
            </w:pPr>
            <w:r>
              <w:rPr>
                <w:rFonts w:hint="eastAsia"/>
              </w:rPr>
              <w:t>①具有中级专业技术职务（或技师）任职资格的；</w:t>
            </w:r>
          </w:p>
          <w:p>
            <w:pPr>
              <w:pStyle w:val="5"/>
              <w:rPr>
                <w:color w:val="FF0000"/>
              </w:rPr>
            </w:pPr>
            <w:r>
              <w:rPr>
                <w:rFonts w:hint="eastAsia"/>
              </w:rPr>
              <w:t>②具有全日制普通高校本科学历且取得助理级专业技术职务任职资格的。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vAlign w:val="center"/>
          </w:tcPr>
          <w:p>
            <w:pPr>
              <w:pStyle w:val="5"/>
            </w:pPr>
            <w:r>
              <w:rPr>
                <w:rFonts w:hint="eastAsia"/>
              </w:rPr>
              <w:t>①具有全日制普通高校本科学历的；</w:t>
            </w:r>
          </w:p>
          <w:p>
            <w:pPr>
              <w:pStyle w:val="5"/>
              <w:rPr>
                <w:color w:val="FF0000"/>
                <w:u w:val="single"/>
              </w:rPr>
            </w:pPr>
            <w:r>
              <w:rPr>
                <w:rFonts w:hint="eastAsia"/>
              </w:rPr>
              <w:t>②具有非全日制普通高校本科学历且取得助理级专业技术职务任职资格的。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vAlign w:val="center"/>
          </w:tcPr>
          <w:p>
            <w:pPr>
              <w:pStyle w:val="5"/>
            </w:pPr>
            <w:r>
              <w:rPr>
                <w:rFonts w:hint="eastAsia"/>
              </w:rPr>
              <w:t>①具有非全日制普通高校本科学历的；</w:t>
            </w:r>
          </w:p>
          <w:p>
            <w:pPr>
              <w:pStyle w:val="5"/>
            </w:pPr>
            <w:r>
              <w:rPr>
                <w:rFonts w:hint="eastAsia"/>
              </w:rPr>
              <w:t>②具有全日制普通高校大专学历且取得助理级专业技术职务任职资格的。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vAlign w:val="center"/>
          </w:tcPr>
          <w:p>
            <w:pPr>
              <w:pStyle w:val="5"/>
            </w:pPr>
            <w:r>
              <w:rPr>
                <w:rFonts w:hint="eastAsia"/>
              </w:rPr>
              <w:t>①具有全日制普通高校大专学历的；</w:t>
            </w:r>
          </w:p>
          <w:p>
            <w:pPr>
              <w:pStyle w:val="5"/>
            </w:pPr>
            <w:r>
              <w:rPr>
                <w:rFonts w:hint="eastAsia"/>
              </w:rPr>
              <w:t>②具有非全日制普通高校大专学历且取得助理级专业技术职务任职资格的。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85"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vAlign w:val="center"/>
          </w:tcPr>
          <w:p>
            <w:pPr>
              <w:pStyle w:val="5"/>
            </w:pPr>
            <w:r>
              <w:rPr>
                <w:rFonts w:hint="eastAsia"/>
              </w:rPr>
              <w:t>具有非全日制普通高校大专学历的。</w:t>
            </w:r>
          </w:p>
        </w:tc>
        <w:tc>
          <w:tcPr>
            <w:tcW w:w="2113" w:type="dxa"/>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pPr>
        <w:spacing w:line="572" w:lineRule="exact"/>
        <w:rPr>
          <w:rFonts w:ascii="仿宋" w:hAnsi="仿宋" w:eastAsia="仿宋"/>
          <w:sz w:val="28"/>
          <w:szCs w:val="28"/>
        </w:rPr>
      </w:pPr>
    </w:p>
    <w:p>
      <w:pPr>
        <w:spacing w:line="572" w:lineRule="exact"/>
        <w:rPr>
          <w:rFonts w:ascii="仿宋" w:hAnsi="仿宋" w:eastAsia="仿宋"/>
          <w:sz w:val="28"/>
          <w:szCs w:val="28"/>
        </w:rPr>
      </w:pPr>
    </w:p>
    <w:p>
      <w:pPr>
        <w:spacing w:line="572" w:lineRule="exact"/>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264C3"/>
    <w:rsid w:val="2872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sz w:val="18"/>
      <w:szCs w:val="18"/>
    </w:rPr>
  </w:style>
  <w:style w:type="paragraph" w:customStyle="1" w:styleId="5">
    <w:name w:val="无间隔1"/>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2020-03-26T07:49:00Z</dcterms:created>
  <dc:creator>NTKO</dc:creator>
  <cp:lastModifiedBy>NTKO</cp:lastModifiedBy>
  <dcterms:modified xsi:type="dcterms:W3CDTF">2020-03-26T07:50:20Z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