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BE" w:rsidRPr="00F961BE" w:rsidRDefault="00F961BE" w:rsidP="00F961BE">
      <w:pPr>
        <w:spacing w:line="600" w:lineRule="exact"/>
        <w:rPr>
          <w:rFonts w:ascii="方正仿宋_GBK" w:eastAsia="方正仿宋_GBK" w:hint="eastAsia"/>
          <w:sz w:val="28"/>
          <w:szCs w:val="28"/>
        </w:rPr>
      </w:pPr>
      <w:r w:rsidRPr="00F961BE">
        <w:rPr>
          <w:rFonts w:ascii="方正仿宋_GBK" w:eastAsia="方正仿宋_GBK" w:hint="eastAsia"/>
          <w:sz w:val="28"/>
          <w:szCs w:val="28"/>
        </w:rPr>
        <w:t>附件1:</w:t>
      </w:r>
    </w:p>
    <w:p w:rsidR="00B01A50" w:rsidRDefault="00E92888">
      <w:pPr>
        <w:spacing w:line="600" w:lineRule="exact"/>
        <w:ind w:firstLineChars="400" w:firstLine="1760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2020</w:t>
      </w:r>
      <w:r>
        <w:rPr>
          <w:rFonts w:eastAsia="方正大标宋简体" w:hAnsi="方正大标宋简体" w:hint="eastAsia"/>
          <w:sz w:val="44"/>
          <w:szCs w:val="44"/>
        </w:rPr>
        <w:t>年度瑞丽市引进研究生及以上学历人才计划表</w:t>
      </w:r>
    </w:p>
    <w:p w:rsidR="00B01A50" w:rsidRDefault="00B01A50">
      <w:pPr>
        <w:pStyle w:val="Default"/>
        <w:rPr>
          <w:rFonts w:ascii="Times New Roman" w:hAnsi="Times New Roman"/>
        </w:rPr>
      </w:pPr>
    </w:p>
    <w:p w:rsidR="00B01A50" w:rsidRDefault="00B01A50">
      <w:pPr>
        <w:pStyle w:val="Default"/>
        <w:rPr>
          <w:rFonts w:ascii="Times New Roman" w:hAnsi="Times New Roman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75"/>
        <w:gridCol w:w="1701"/>
        <w:gridCol w:w="851"/>
        <w:gridCol w:w="5953"/>
        <w:gridCol w:w="709"/>
        <w:gridCol w:w="851"/>
        <w:gridCol w:w="708"/>
        <w:gridCol w:w="851"/>
      </w:tblGrid>
      <w:tr w:rsidR="00B01A50">
        <w:trPr>
          <w:trHeight w:val="585"/>
        </w:trPr>
        <w:tc>
          <w:tcPr>
            <w:tcW w:w="1101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招聘单位</w:t>
            </w:r>
          </w:p>
        </w:tc>
        <w:tc>
          <w:tcPr>
            <w:tcW w:w="1275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岗位性质及人数</w:t>
            </w:r>
          </w:p>
        </w:tc>
        <w:tc>
          <w:tcPr>
            <w:tcW w:w="2552" w:type="dxa"/>
            <w:gridSpan w:val="2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专业要求及人数分配（人）</w:t>
            </w:r>
          </w:p>
        </w:tc>
        <w:tc>
          <w:tcPr>
            <w:tcW w:w="5953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专业条件（须与</w:t>
            </w:r>
            <w:r>
              <w:rPr>
                <w:rFonts w:eastAsia="黑体" w:hint="eastAsia"/>
                <w:sz w:val="22"/>
                <w:szCs w:val="22"/>
              </w:rPr>
              <w:t>2019</w:t>
            </w:r>
            <w:r>
              <w:rPr>
                <w:rFonts w:eastAsia="黑体" w:hint="eastAsia"/>
                <w:sz w:val="22"/>
                <w:szCs w:val="22"/>
              </w:rPr>
              <w:t>年云南省公务员录用考试专业目录一致）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学历形式</w:t>
            </w:r>
          </w:p>
        </w:tc>
        <w:tc>
          <w:tcPr>
            <w:tcW w:w="851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学历层次</w:t>
            </w:r>
          </w:p>
        </w:tc>
        <w:tc>
          <w:tcPr>
            <w:tcW w:w="708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学位</w:t>
            </w:r>
          </w:p>
        </w:tc>
        <w:tc>
          <w:tcPr>
            <w:tcW w:w="851" w:type="dxa"/>
            <w:vAlign w:val="center"/>
          </w:tcPr>
          <w:p w:rsidR="00B01A50" w:rsidRDefault="00E92888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联系电话</w:t>
            </w:r>
          </w:p>
        </w:tc>
      </w:tr>
      <w:tr w:rsidR="00B01A50">
        <w:trPr>
          <w:trHeight w:val="715"/>
        </w:trPr>
        <w:tc>
          <w:tcPr>
            <w:tcW w:w="1101" w:type="dxa"/>
            <w:vMerge w:val="restart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中国（云南）自由贸易试验区德宏片区工管委</w:t>
            </w:r>
          </w:p>
        </w:tc>
        <w:tc>
          <w:tcPr>
            <w:tcW w:w="1275" w:type="dxa"/>
            <w:vMerge w:val="restart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事业编制，</w:t>
            </w:r>
            <w:r>
              <w:rPr>
                <w:rFonts w:eastAsia="方正仿宋_GBK" w:hint="eastAsia"/>
                <w:sz w:val="24"/>
              </w:rPr>
              <w:t>8</w:t>
            </w:r>
            <w:r>
              <w:rPr>
                <w:rFonts w:eastAsia="方正仿宋_GBK" w:hint="eastAsia"/>
                <w:sz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财政税务类</w:t>
            </w:r>
          </w:p>
        </w:tc>
        <w:tc>
          <w:tcPr>
            <w:tcW w:w="85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B01A50" w:rsidRDefault="00E92888"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一级目录人文社会科学；二级目录财政税务类。专业不限。</w:t>
            </w:r>
          </w:p>
        </w:tc>
        <w:tc>
          <w:tcPr>
            <w:tcW w:w="709" w:type="dxa"/>
            <w:vMerge w:val="restart"/>
            <w:vAlign w:val="center"/>
          </w:tcPr>
          <w:p w:rsidR="00B01A50" w:rsidRDefault="00E92888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全日制</w:t>
            </w:r>
            <w:r w:rsidR="00C03754">
              <w:rPr>
                <w:rFonts w:eastAsia="方正仿宋_GBK" w:hint="eastAsia"/>
                <w:sz w:val="22"/>
                <w:szCs w:val="22"/>
              </w:rPr>
              <w:t>统招</w:t>
            </w:r>
          </w:p>
        </w:tc>
        <w:tc>
          <w:tcPr>
            <w:tcW w:w="851" w:type="dxa"/>
            <w:vMerge w:val="restart"/>
            <w:vAlign w:val="center"/>
          </w:tcPr>
          <w:p w:rsidR="00B01A50" w:rsidRDefault="00E92888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硕士研究生及以上</w:t>
            </w:r>
          </w:p>
        </w:tc>
        <w:tc>
          <w:tcPr>
            <w:tcW w:w="708" w:type="dxa"/>
            <w:vMerge w:val="restart"/>
            <w:vAlign w:val="center"/>
          </w:tcPr>
          <w:p w:rsidR="00B01A50" w:rsidRDefault="00E92888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硕士及以上</w:t>
            </w:r>
          </w:p>
        </w:tc>
        <w:tc>
          <w:tcPr>
            <w:tcW w:w="851" w:type="dxa"/>
            <w:vMerge w:val="restart"/>
            <w:vAlign w:val="center"/>
          </w:tcPr>
          <w:p w:rsidR="00B01A50" w:rsidRDefault="00E92888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0692-3066095</w:t>
            </w:r>
          </w:p>
        </w:tc>
      </w:tr>
      <w:tr w:rsidR="00B01A50">
        <w:trPr>
          <w:trHeight w:val="716"/>
        </w:trPr>
        <w:tc>
          <w:tcPr>
            <w:tcW w:w="1101" w:type="dxa"/>
            <w:vMerge/>
            <w:vAlign w:val="center"/>
          </w:tcPr>
          <w:p w:rsidR="00B01A50" w:rsidRDefault="00B01A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01A50" w:rsidRDefault="00B01A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金融类</w:t>
            </w:r>
          </w:p>
        </w:tc>
        <w:tc>
          <w:tcPr>
            <w:tcW w:w="85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B01A50" w:rsidRDefault="00E92888"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一级目录人文社会科学；二级目录金融学类。专业不限。</w:t>
            </w:r>
          </w:p>
        </w:tc>
        <w:tc>
          <w:tcPr>
            <w:tcW w:w="709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B01A50">
        <w:trPr>
          <w:trHeight w:val="707"/>
        </w:trPr>
        <w:tc>
          <w:tcPr>
            <w:tcW w:w="1101" w:type="dxa"/>
            <w:vMerge/>
            <w:vAlign w:val="center"/>
          </w:tcPr>
          <w:p w:rsidR="00B01A50" w:rsidRDefault="00B01A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01A50" w:rsidRDefault="00B01A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经济学和经济贸易管理类</w:t>
            </w:r>
          </w:p>
        </w:tc>
        <w:tc>
          <w:tcPr>
            <w:tcW w:w="85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B01A50" w:rsidRDefault="00E92888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eastAsia="方正仿宋_GBK" w:hint="eastAsia"/>
                <w:sz w:val="24"/>
              </w:rPr>
              <w:t>经济学和经济贸易管理类</w:t>
            </w: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。专业不限。</w:t>
            </w:r>
          </w:p>
        </w:tc>
        <w:tc>
          <w:tcPr>
            <w:tcW w:w="709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B01A50">
        <w:trPr>
          <w:trHeight w:val="551"/>
        </w:trPr>
        <w:tc>
          <w:tcPr>
            <w:tcW w:w="1101" w:type="dxa"/>
            <w:vMerge/>
            <w:vAlign w:val="center"/>
          </w:tcPr>
          <w:p w:rsidR="00B01A50" w:rsidRDefault="00B01A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01A50" w:rsidRDefault="00B01A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法学类</w:t>
            </w:r>
          </w:p>
        </w:tc>
        <w:tc>
          <w:tcPr>
            <w:tcW w:w="851" w:type="dxa"/>
            <w:vAlign w:val="center"/>
          </w:tcPr>
          <w:p w:rsidR="00B01A50" w:rsidRDefault="00E9288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B01A50" w:rsidRDefault="00E92888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一级目录人文社会科学；二级目录法学类。专业不限。</w:t>
            </w:r>
          </w:p>
        </w:tc>
        <w:tc>
          <w:tcPr>
            <w:tcW w:w="709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01A50" w:rsidRDefault="00B01A5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03754">
        <w:trPr>
          <w:trHeight w:val="713"/>
        </w:trPr>
        <w:tc>
          <w:tcPr>
            <w:tcW w:w="1101" w:type="dxa"/>
            <w:vMerge/>
            <w:vAlign w:val="center"/>
          </w:tcPr>
          <w:p w:rsidR="00C03754" w:rsidRDefault="00C0375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03754" w:rsidRDefault="00C0375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3754" w:rsidRDefault="00C03754" w:rsidP="00DC65CC"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工商管理及市场营销类</w:t>
            </w:r>
          </w:p>
        </w:tc>
        <w:tc>
          <w:tcPr>
            <w:tcW w:w="851" w:type="dxa"/>
            <w:vAlign w:val="center"/>
          </w:tcPr>
          <w:p w:rsidR="00C03754" w:rsidRDefault="00C03754" w:rsidP="00DC65C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03754" w:rsidRDefault="00C03754" w:rsidP="00DC65CC"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eastAsia="方正仿宋_GBK" w:hint="eastAsia"/>
                <w:sz w:val="24"/>
              </w:rPr>
              <w:t>工商管理及市场营销类。</w:t>
            </w: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专业不限</w:t>
            </w:r>
          </w:p>
        </w:tc>
        <w:tc>
          <w:tcPr>
            <w:tcW w:w="709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03754">
        <w:trPr>
          <w:trHeight w:val="808"/>
        </w:trPr>
        <w:tc>
          <w:tcPr>
            <w:tcW w:w="1101" w:type="dxa"/>
            <w:vMerge/>
            <w:vAlign w:val="center"/>
          </w:tcPr>
          <w:p w:rsidR="00C03754" w:rsidRDefault="00C0375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03754" w:rsidRDefault="00C0375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3754" w:rsidRDefault="00C03754" w:rsidP="00DC65CC"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物流管理与工程类</w:t>
            </w:r>
          </w:p>
        </w:tc>
        <w:tc>
          <w:tcPr>
            <w:tcW w:w="851" w:type="dxa"/>
            <w:vAlign w:val="center"/>
          </w:tcPr>
          <w:p w:rsidR="00C03754" w:rsidRDefault="00C03754" w:rsidP="00DC65C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03754" w:rsidRDefault="00C03754" w:rsidP="00DC65CC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eastAsia="方正仿宋_GBK" w:hint="eastAsia"/>
                <w:sz w:val="24"/>
              </w:rPr>
              <w:t>物流管理与工程类</w:t>
            </w:r>
            <w:r>
              <w:rPr>
                <w:rFonts w:eastAsia="方正仿宋_GBK" w:hint="eastAsia"/>
                <w:color w:val="000000"/>
                <w:sz w:val="24"/>
              </w:rPr>
              <w:t>。</w:t>
            </w: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专业不限。</w:t>
            </w:r>
          </w:p>
        </w:tc>
        <w:tc>
          <w:tcPr>
            <w:tcW w:w="709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03754">
        <w:trPr>
          <w:trHeight w:val="808"/>
        </w:trPr>
        <w:tc>
          <w:tcPr>
            <w:tcW w:w="1101" w:type="dxa"/>
            <w:vMerge/>
            <w:vAlign w:val="center"/>
          </w:tcPr>
          <w:p w:rsidR="00C03754" w:rsidRDefault="00C0375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03754" w:rsidRDefault="00C0375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3754" w:rsidRDefault="00C03754" w:rsidP="00DC65C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公共管理及服务类</w:t>
            </w:r>
          </w:p>
        </w:tc>
        <w:tc>
          <w:tcPr>
            <w:tcW w:w="851" w:type="dxa"/>
            <w:vAlign w:val="center"/>
          </w:tcPr>
          <w:p w:rsidR="00C03754" w:rsidRDefault="00C03754" w:rsidP="00DC65C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C03754" w:rsidRDefault="00C03754" w:rsidP="00DC65CC"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eastAsia="方正仿宋_GBK" w:hint="eastAsia"/>
                <w:sz w:val="24"/>
              </w:rPr>
              <w:t>公共管理及服务类</w:t>
            </w:r>
            <w:r>
              <w:rPr>
                <w:rFonts w:eastAsia="方正仿宋_GBK" w:hint="eastAsia"/>
                <w:color w:val="000000"/>
                <w:sz w:val="24"/>
              </w:rPr>
              <w:t>。</w:t>
            </w: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专业不限。</w:t>
            </w:r>
          </w:p>
        </w:tc>
        <w:tc>
          <w:tcPr>
            <w:tcW w:w="709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03754" w:rsidRDefault="00C03754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:rsidR="00B01A50" w:rsidRDefault="00B01A50">
      <w:pPr>
        <w:pStyle w:val="Default"/>
        <w:rPr>
          <w:rFonts w:ascii="Times New Roman" w:hAnsi="Times New Roman"/>
        </w:rPr>
      </w:pPr>
    </w:p>
    <w:p w:rsidR="00B01A50" w:rsidRDefault="00B01A50">
      <w:pPr>
        <w:spacing w:line="300" w:lineRule="exact"/>
        <w:rPr>
          <w:rFonts w:eastAsia="仿宋_GB2312"/>
          <w:spacing w:val="11"/>
          <w:sz w:val="32"/>
        </w:rPr>
      </w:pPr>
    </w:p>
    <w:sectPr w:rsidR="00B01A50" w:rsidSect="00B01A50">
      <w:footerReference w:type="default" r:id="rId7"/>
      <w:pgSz w:w="16838" w:h="11906" w:orient="landscape"/>
      <w:pgMar w:top="1417" w:right="1701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5C1" w:rsidRDefault="005A55C1" w:rsidP="00B01A50">
      <w:r>
        <w:separator/>
      </w:r>
    </w:p>
  </w:endnote>
  <w:endnote w:type="continuationSeparator" w:id="1">
    <w:p w:rsidR="005A55C1" w:rsidRDefault="005A55C1" w:rsidP="00B0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50" w:rsidRDefault="00B70288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11.3pt;margin-top:-23.15pt;width:45.65pt;height:29pt;z-index:251660288;mso-position-horizontal:outside;mso-position-horizontal-relative:margin" o:gfxdata="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vMAf1gAAAAYBAAAP&#10;AAAAAAAAAAEAIAAAACIAAABkcnMvZG93bnJldi54bWxQSwECFAAUAAAACACHTuJAsG3n0qgBAAAs&#10;AwAADgAAAAAAAAABACAAAAAlAQAAZHJzL2Uyb0RvYy54bWxQSwUGAAAAAAYABgBZAQAAPwUAAAAA&#10;" filled="f" stroked="f">
          <v:textbox inset="0,0,0,0">
            <w:txbxContent>
              <w:p w:rsidR="00B01A50" w:rsidRDefault="00E92888">
                <w:pPr>
                  <w:pStyle w:val="a3"/>
                  <w:jc w:val="center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B70288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B70288">
                  <w:rPr>
                    <w:sz w:val="28"/>
                    <w:szCs w:val="28"/>
                  </w:rPr>
                  <w:fldChar w:fldCharType="separate"/>
                </w:r>
                <w:r w:rsidR="00F961BE">
                  <w:rPr>
                    <w:noProof/>
                    <w:sz w:val="28"/>
                    <w:szCs w:val="28"/>
                  </w:rPr>
                  <w:t>1</w:t>
                </w:r>
                <w:r w:rsidR="00B70288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5C1" w:rsidRDefault="005A55C1" w:rsidP="00B01A50">
      <w:r>
        <w:separator/>
      </w:r>
    </w:p>
  </w:footnote>
  <w:footnote w:type="continuationSeparator" w:id="1">
    <w:p w:rsidR="005A55C1" w:rsidRDefault="005A55C1" w:rsidP="00B01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115BD"/>
    <w:rsid w:val="0001774E"/>
    <w:rsid w:val="00025861"/>
    <w:rsid w:val="00047EB5"/>
    <w:rsid w:val="000553C7"/>
    <w:rsid w:val="00064BE5"/>
    <w:rsid w:val="000807A9"/>
    <w:rsid w:val="000D443D"/>
    <w:rsid w:val="000F301E"/>
    <w:rsid w:val="00167E73"/>
    <w:rsid w:val="001B41F5"/>
    <w:rsid w:val="001E046B"/>
    <w:rsid w:val="001E61B4"/>
    <w:rsid w:val="002C2C5F"/>
    <w:rsid w:val="002C772D"/>
    <w:rsid w:val="002D7572"/>
    <w:rsid w:val="002E2545"/>
    <w:rsid w:val="002F27D1"/>
    <w:rsid w:val="002F7E49"/>
    <w:rsid w:val="00335A2A"/>
    <w:rsid w:val="00344FB4"/>
    <w:rsid w:val="00364341"/>
    <w:rsid w:val="00367DB4"/>
    <w:rsid w:val="00370BEC"/>
    <w:rsid w:val="003A671B"/>
    <w:rsid w:val="003B2D14"/>
    <w:rsid w:val="004115BD"/>
    <w:rsid w:val="00493FCC"/>
    <w:rsid w:val="004C2DC7"/>
    <w:rsid w:val="004C7466"/>
    <w:rsid w:val="004E3F97"/>
    <w:rsid w:val="005146E6"/>
    <w:rsid w:val="00527D07"/>
    <w:rsid w:val="005503A5"/>
    <w:rsid w:val="00590550"/>
    <w:rsid w:val="005A55C1"/>
    <w:rsid w:val="005C66DA"/>
    <w:rsid w:val="005E507C"/>
    <w:rsid w:val="00615FF6"/>
    <w:rsid w:val="006A5A31"/>
    <w:rsid w:val="00762561"/>
    <w:rsid w:val="00796DDE"/>
    <w:rsid w:val="007A340C"/>
    <w:rsid w:val="007B00C7"/>
    <w:rsid w:val="007B36A7"/>
    <w:rsid w:val="00857BBD"/>
    <w:rsid w:val="008B081A"/>
    <w:rsid w:val="00907A19"/>
    <w:rsid w:val="009269B9"/>
    <w:rsid w:val="00973AC9"/>
    <w:rsid w:val="009B1FA1"/>
    <w:rsid w:val="009E2C54"/>
    <w:rsid w:val="00A62D47"/>
    <w:rsid w:val="00AB2191"/>
    <w:rsid w:val="00AC124F"/>
    <w:rsid w:val="00AC67F4"/>
    <w:rsid w:val="00AC7722"/>
    <w:rsid w:val="00AD50AA"/>
    <w:rsid w:val="00AE0F0E"/>
    <w:rsid w:val="00AE2FF2"/>
    <w:rsid w:val="00AF66F4"/>
    <w:rsid w:val="00B01A50"/>
    <w:rsid w:val="00B56FA8"/>
    <w:rsid w:val="00B70288"/>
    <w:rsid w:val="00B92930"/>
    <w:rsid w:val="00C00D99"/>
    <w:rsid w:val="00C017C6"/>
    <w:rsid w:val="00C03754"/>
    <w:rsid w:val="00CD7422"/>
    <w:rsid w:val="00CF585D"/>
    <w:rsid w:val="00D06DA1"/>
    <w:rsid w:val="00D30490"/>
    <w:rsid w:val="00D40EC7"/>
    <w:rsid w:val="00D624A9"/>
    <w:rsid w:val="00D83267"/>
    <w:rsid w:val="00DB21AF"/>
    <w:rsid w:val="00DD4DBA"/>
    <w:rsid w:val="00E557A4"/>
    <w:rsid w:val="00E71AB6"/>
    <w:rsid w:val="00E761B1"/>
    <w:rsid w:val="00E92888"/>
    <w:rsid w:val="00EA6016"/>
    <w:rsid w:val="00EF4EF8"/>
    <w:rsid w:val="00F67537"/>
    <w:rsid w:val="00F961BE"/>
    <w:rsid w:val="00FB0353"/>
    <w:rsid w:val="00FC713F"/>
    <w:rsid w:val="00FD7C5F"/>
    <w:rsid w:val="00FE3CA0"/>
    <w:rsid w:val="01B46B1D"/>
    <w:rsid w:val="02D65EA1"/>
    <w:rsid w:val="032A2DAD"/>
    <w:rsid w:val="03CE34D0"/>
    <w:rsid w:val="04C71AE7"/>
    <w:rsid w:val="0683327C"/>
    <w:rsid w:val="071278BB"/>
    <w:rsid w:val="078B1C87"/>
    <w:rsid w:val="07B85FD3"/>
    <w:rsid w:val="07ED35EA"/>
    <w:rsid w:val="08836A0D"/>
    <w:rsid w:val="089F032F"/>
    <w:rsid w:val="0B4C6F1C"/>
    <w:rsid w:val="0B6176A4"/>
    <w:rsid w:val="0B7C6AEC"/>
    <w:rsid w:val="0C2761B2"/>
    <w:rsid w:val="0C566163"/>
    <w:rsid w:val="0C9D73A0"/>
    <w:rsid w:val="0D851556"/>
    <w:rsid w:val="0DA63954"/>
    <w:rsid w:val="0EC66821"/>
    <w:rsid w:val="106E6C71"/>
    <w:rsid w:val="10DE126D"/>
    <w:rsid w:val="124E496B"/>
    <w:rsid w:val="12604691"/>
    <w:rsid w:val="12A863B3"/>
    <w:rsid w:val="13806A67"/>
    <w:rsid w:val="13D92063"/>
    <w:rsid w:val="154C15E1"/>
    <w:rsid w:val="160E5EB3"/>
    <w:rsid w:val="161321A9"/>
    <w:rsid w:val="16FD0D06"/>
    <w:rsid w:val="19AE194F"/>
    <w:rsid w:val="1A746FFF"/>
    <w:rsid w:val="1B6173D7"/>
    <w:rsid w:val="1BAA7830"/>
    <w:rsid w:val="1BC9246C"/>
    <w:rsid w:val="1C0F24E0"/>
    <w:rsid w:val="1C7823CC"/>
    <w:rsid w:val="1CEA2E00"/>
    <w:rsid w:val="1D111081"/>
    <w:rsid w:val="1D880311"/>
    <w:rsid w:val="1E78042D"/>
    <w:rsid w:val="1EAC23B0"/>
    <w:rsid w:val="1EC41FA3"/>
    <w:rsid w:val="200E431A"/>
    <w:rsid w:val="20ED6430"/>
    <w:rsid w:val="2150452F"/>
    <w:rsid w:val="21D810DD"/>
    <w:rsid w:val="221D13C2"/>
    <w:rsid w:val="244920C9"/>
    <w:rsid w:val="24EF2D5E"/>
    <w:rsid w:val="25A12916"/>
    <w:rsid w:val="269C536D"/>
    <w:rsid w:val="26D46B45"/>
    <w:rsid w:val="27E4339D"/>
    <w:rsid w:val="281A6A02"/>
    <w:rsid w:val="28D249A6"/>
    <w:rsid w:val="29A9748F"/>
    <w:rsid w:val="29B61FC9"/>
    <w:rsid w:val="2A0A30E1"/>
    <w:rsid w:val="2A39672E"/>
    <w:rsid w:val="2A561885"/>
    <w:rsid w:val="2B49623A"/>
    <w:rsid w:val="2B58174C"/>
    <w:rsid w:val="2CC750D1"/>
    <w:rsid w:val="2D5504B2"/>
    <w:rsid w:val="2D5C2F75"/>
    <w:rsid w:val="2DCC2295"/>
    <w:rsid w:val="2EFB0A42"/>
    <w:rsid w:val="2F161398"/>
    <w:rsid w:val="2F750955"/>
    <w:rsid w:val="2FE75601"/>
    <w:rsid w:val="31060B93"/>
    <w:rsid w:val="31605B2E"/>
    <w:rsid w:val="320C7E0D"/>
    <w:rsid w:val="32436F72"/>
    <w:rsid w:val="325C39B9"/>
    <w:rsid w:val="32671267"/>
    <w:rsid w:val="32F2011C"/>
    <w:rsid w:val="33D37A6C"/>
    <w:rsid w:val="3443207E"/>
    <w:rsid w:val="3468530E"/>
    <w:rsid w:val="34B5225F"/>
    <w:rsid w:val="35A95429"/>
    <w:rsid w:val="37004CFA"/>
    <w:rsid w:val="38365DCB"/>
    <w:rsid w:val="38C579DF"/>
    <w:rsid w:val="38E3554F"/>
    <w:rsid w:val="3955516A"/>
    <w:rsid w:val="3A6E6BA8"/>
    <w:rsid w:val="3AC229EC"/>
    <w:rsid w:val="3B7170A1"/>
    <w:rsid w:val="3E1C42A9"/>
    <w:rsid w:val="3EEA7729"/>
    <w:rsid w:val="3F864012"/>
    <w:rsid w:val="3FB418A2"/>
    <w:rsid w:val="3FB74FC1"/>
    <w:rsid w:val="3FEB7AF0"/>
    <w:rsid w:val="41120CD4"/>
    <w:rsid w:val="4182312B"/>
    <w:rsid w:val="42A43AAD"/>
    <w:rsid w:val="42A50FFA"/>
    <w:rsid w:val="43281123"/>
    <w:rsid w:val="43746761"/>
    <w:rsid w:val="437C3B23"/>
    <w:rsid w:val="448045DF"/>
    <w:rsid w:val="45186604"/>
    <w:rsid w:val="45B63377"/>
    <w:rsid w:val="466E44D8"/>
    <w:rsid w:val="46CF7DB8"/>
    <w:rsid w:val="487C6BD2"/>
    <w:rsid w:val="48EB1E3E"/>
    <w:rsid w:val="49905752"/>
    <w:rsid w:val="4A4B6CD3"/>
    <w:rsid w:val="4E2F359B"/>
    <w:rsid w:val="4E3A61FF"/>
    <w:rsid w:val="4E9E1200"/>
    <w:rsid w:val="4ED70EF9"/>
    <w:rsid w:val="50754731"/>
    <w:rsid w:val="50A64A45"/>
    <w:rsid w:val="51754481"/>
    <w:rsid w:val="517C1563"/>
    <w:rsid w:val="51B64820"/>
    <w:rsid w:val="52ED4D7C"/>
    <w:rsid w:val="54E32F30"/>
    <w:rsid w:val="55000B56"/>
    <w:rsid w:val="5514135F"/>
    <w:rsid w:val="55725676"/>
    <w:rsid w:val="55910C1A"/>
    <w:rsid w:val="563130E0"/>
    <w:rsid w:val="5784103F"/>
    <w:rsid w:val="57CF735F"/>
    <w:rsid w:val="5862302B"/>
    <w:rsid w:val="59AA66A2"/>
    <w:rsid w:val="5A720E57"/>
    <w:rsid w:val="5AB718B3"/>
    <w:rsid w:val="5B3342F1"/>
    <w:rsid w:val="5BA11331"/>
    <w:rsid w:val="5BCA70D7"/>
    <w:rsid w:val="5C8739C3"/>
    <w:rsid w:val="5F4A3968"/>
    <w:rsid w:val="60D66FD7"/>
    <w:rsid w:val="610B46D3"/>
    <w:rsid w:val="6203775B"/>
    <w:rsid w:val="63604D45"/>
    <w:rsid w:val="653327E2"/>
    <w:rsid w:val="65527DD5"/>
    <w:rsid w:val="66C411B3"/>
    <w:rsid w:val="67314DAF"/>
    <w:rsid w:val="677340B7"/>
    <w:rsid w:val="68641615"/>
    <w:rsid w:val="686E46D8"/>
    <w:rsid w:val="68920FEB"/>
    <w:rsid w:val="68D006EA"/>
    <w:rsid w:val="69032B5F"/>
    <w:rsid w:val="69A9324F"/>
    <w:rsid w:val="6B413244"/>
    <w:rsid w:val="6B79111A"/>
    <w:rsid w:val="6C1C1E3A"/>
    <w:rsid w:val="6C5733F0"/>
    <w:rsid w:val="6CC904FC"/>
    <w:rsid w:val="6DCB7D31"/>
    <w:rsid w:val="6E83774B"/>
    <w:rsid w:val="6ECD65E8"/>
    <w:rsid w:val="6FBD2C44"/>
    <w:rsid w:val="70FA485B"/>
    <w:rsid w:val="71EB52A1"/>
    <w:rsid w:val="72DE60F9"/>
    <w:rsid w:val="72FB64E2"/>
    <w:rsid w:val="733C7F8F"/>
    <w:rsid w:val="741B12E7"/>
    <w:rsid w:val="753237EF"/>
    <w:rsid w:val="75387C15"/>
    <w:rsid w:val="76E45D70"/>
    <w:rsid w:val="774666EE"/>
    <w:rsid w:val="78146505"/>
    <w:rsid w:val="78D518BF"/>
    <w:rsid w:val="79D540FA"/>
    <w:rsid w:val="7B040C28"/>
    <w:rsid w:val="7B7D683B"/>
    <w:rsid w:val="7B926D86"/>
    <w:rsid w:val="7CA62DC5"/>
    <w:rsid w:val="7D2512F6"/>
    <w:rsid w:val="7DE02DC0"/>
    <w:rsid w:val="7EEE29FC"/>
    <w:rsid w:val="7F17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B01A5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B01A5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B01A5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B01A50"/>
    <w:pPr>
      <w:widowControl w:val="0"/>
      <w:autoSpaceDE w:val="0"/>
      <w:autoSpaceDN w:val="0"/>
      <w:adjustRightInd w:val="0"/>
    </w:pPr>
    <w:rPr>
      <w:rFonts w:ascii="仿宋_GB2312" w:eastAsia="仿宋_GB2312" w:hAnsi="Calibri"/>
      <w:color w:val="000000"/>
      <w:sz w:val="24"/>
      <w:szCs w:val="22"/>
    </w:rPr>
  </w:style>
  <w:style w:type="paragraph" w:styleId="a3">
    <w:name w:val="footer"/>
    <w:basedOn w:val="a"/>
    <w:link w:val="Char"/>
    <w:uiPriority w:val="99"/>
    <w:qFormat/>
    <w:rsid w:val="00B0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01A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B01A50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qFormat/>
    <w:rsid w:val="00B01A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99"/>
    <w:qFormat/>
    <w:rsid w:val="00B01A50"/>
    <w:rPr>
      <w:rFonts w:cs="Times New Roman"/>
      <w:b/>
      <w:bCs/>
    </w:rPr>
  </w:style>
  <w:style w:type="character" w:styleId="a8">
    <w:name w:val="page number"/>
    <w:basedOn w:val="a0"/>
    <w:uiPriority w:val="99"/>
    <w:qFormat/>
    <w:rsid w:val="00B01A50"/>
    <w:rPr>
      <w:rFonts w:cs="Times New Roman"/>
    </w:rPr>
  </w:style>
  <w:style w:type="character" w:styleId="a9">
    <w:name w:val="Hyperlink"/>
    <w:basedOn w:val="a0"/>
    <w:uiPriority w:val="99"/>
    <w:qFormat/>
    <w:rsid w:val="00B01A50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qFormat/>
    <w:rsid w:val="00B01A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B01A50"/>
    <w:rPr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semiHidden/>
    <w:qFormat/>
    <w:rsid w:val="00B01A5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01A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2019年栾川县引进百名研究生学历人才</dc:title>
  <dc:creator>user</dc:creator>
  <cp:lastModifiedBy>hp</cp:lastModifiedBy>
  <cp:revision>3</cp:revision>
  <cp:lastPrinted>2019-06-03T07:37:00Z</cp:lastPrinted>
  <dcterms:created xsi:type="dcterms:W3CDTF">2020-03-30T00:28:00Z</dcterms:created>
  <dcterms:modified xsi:type="dcterms:W3CDTF">2020-03-31T02:46:00Z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