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ascii="Verdana" w:hAnsi="Verdana" w:cs="Verdan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5FAFF"/>
          <w:lang w:val="en-US" w:eastAsia="zh-CN" w:bidi="ar"/>
        </w:rPr>
        <w:t>　1.面向社会招聘公司资金结算中心工作人员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5FAFF"/>
          <w:lang w:val="en-US" w:eastAsia="zh-CN" w:bidi="ar"/>
        </w:rPr>
        <w:t> </w:t>
      </w:r>
    </w:p>
    <w:tbl>
      <w:tblPr>
        <w:tblW w:w="80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732"/>
        <w:gridCol w:w="311"/>
        <w:gridCol w:w="1806"/>
        <w:gridCol w:w="37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学历及专业要求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从业经验等要求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资金结算中心副主任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全日制本科学历，金融、财务、会计、审计专业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具有5年以上银行从业经验，曾任管理型支行副行长或二级分行部门副经理及以上职务；或具有5年以上财务公司从业经验，曾任财务公司部门经理及以上职务。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年龄不超过35周岁（1985年3月31日以后出生）。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资金结算中心一般管理人员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全日制硕士研究生学历，第一学历为全日制本科,本科、硕士均为金融、财务、会计、审计专业，本科、硕士专业可不一致。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具有3年以上银行从业经验，或具有3年以上财务公司从业经验。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年龄不超过30周岁（1990年3月31日以后出生）。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5FAFF"/>
          <w:lang w:val="en-US" w:eastAsia="zh-CN" w:bidi="ar"/>
        </w:rPr>
        <w:t>    2.面向高校招聘财务资产管理部、审计部2020年应届毕业生</w:t>
      </w:r>
    </w:p>
    <w:tbl>
      <w:tblPr>
        <w:tblW w:w="804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393"/>
        <w:gridCol w:w="3222"/>
        <w:gridCol w:w="2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学历及专业要求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年龄要求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财务资产管理部、审计部一般管理人员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2人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全日制硕士研究生学历，第一学历为全日制本科,本科、硕士均为金融、财务、会计、审计专业，本科、硕士专业可不一致。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年龄不超过27周岁（1993年3月31日以后出生）。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5FA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506B6"/>
    <w:rsid w:val="46E5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2020-04-14T02:17:00Z</dcterms:created>
  <dc:creator>ぺ灬cc果冻ル</dc:creator>
  <cp:lastModifiedBy>ぺ灬cc果冻ル</cp:lastModifiedBy>
  <dcterms:modified xsi:type="dcterms:W3CDTF">2020-04-14T02:18:29Z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