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B1B1B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1B1B1B"/>
          <w:spacing w:val="0"/>
          <w:sz w:val="30"/>
          <w:szCs w:val="30"/>
          <w:bdr w:val="none" w:color="auto" w:sz="0" w:space="0"/>
          <w:shd w:val="clear" w:fill="FFFFFF"/>
        </w:rPr>
        <w:t>视频招聘场次时间</w:t>
      </w:r>
      <w:bookmarkStart w:id="0" w:name="_GoBack"/>
      <w:bookmarkEnd w:id="0"/>
    </w:p>
    <w:tbl>
      <w:tblPr>
        <w:tblW w:w="143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5"/>
        <w:gridCol w:w="4955"/>
        <w:gridCol w:w="49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招聘场次</w:t>
            </w:r>
          </w:p>
        </w:tc>
        <w:tc>
          <w:tcPr>
            <w:tcW w:w="99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视频面试时间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第一场</w:t>
            </w:r>
          </w:p>
        </w:tc>
        <w:tc>
          <w:tcPr>
            <w:tcW w:w="49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5月20日</w:t>
            </w:r>
          </w:p>
        </w:tc>
        <w:tc>
          <w:tcPr>
            <w:tcW w:w="4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上午9:00-12:00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第二场</w:t>
            </w:r>
          </w:p>
        </w:tc>
        <w:tc>
          <w:tcPr>
            <w:tcW w:w="49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下午14:30-17:30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第三场</w:t>
            </w:r>
          </w:p>
        </w:tc>
        <w:tc>
          <w:tcPr>
            <w:tcW w:w="49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5月21日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上午9:00-12:00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第四场</w:t>
            </w:r>
          </w:p>
        </w:tc>
        <w:tc>
          <w:tcPr>
            <w:tcW w:w="49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下午14:30-17:30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......</w:t>
            </w:r>
          </w:p>
        </w:tc>
        <w:tc>
          <w:tcPr>
            <w:tcW w:w="9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8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default" w:ascii="仿宋_GB2312" w:hAnsi="宋体" w:eastAsia="仿宋_GB2312" w:cs="仿宋_GB2312"/>
                <w:caps w:val="0"/>
                <w:color w:val="1B1B1B"/>
                <w:spacing w:val="0"/>
                <w:sz w:val="30"/>
                <w:szCs w:val="30"/>
                <w:bdr w:val="none" w:color="auto" w:sz="0" w:space="0"/>
              </w:rPr>
              <w:t>根据报名情况，如面试场次需增加的，由工作人员另行通知。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B1B1B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18"/>
          <w:szCs w:val="18"/>
          <w:bdr w:val="none" w:color="auto" w:sz="0" w:space="0"/>
          <w:shd w:val="clear" w:fill="FFFFFF"/>
        </w:rPr>
        <w:t>　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7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2020-04-29T04:31:35Z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