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1263"/>
        <w:gridCol w:w="1204"/>
        <w:gridCol w:w="1709"/>
        <w:gridCol w:w="2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全球招聘教授、博士（后）、特别优秀青年人才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人才类别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科研平台建设经费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安家费和住房</w:t>
            </w:r>
          </w:p>
        </w:tc>
        <w:tc>
          <w:tcPr>
            <w:tcW w:w="31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工资津贴及其它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自然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人文</w:t>
            </w:r>
          </w:p>
        </w:tc>
        <w:tc>
          <w:tcPr>
            <w:tcW w:w="21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31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全球招聘教授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50-500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20-200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40-60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万元和周转房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相应岗位工资和津贴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海外讲座教授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提供必要的科研、工作条件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解决住宿、差旅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1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万美元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/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（按实际工作时间计算）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海外知名大学（科研机构）博士（后）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10-40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4-20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10-40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万元和周转房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相应岗位工资和津贴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特别优秀青年人才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国家级：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200-800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jc w:val="center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省部级：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40-200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国家级：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50-200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省部级：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40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right="0"/>
              <w:textAlignment w:val="baseline"/>
            </w:pP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年薪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  <w:lang w:val="en-US"/>
              </w:rPr>
              <w:t>20-50</w:t>
            </w:r>
            <w:r>
              <w:rPr>
                <w:rFonts w:hint="default" w:ascii="仿宋_GB2312" w:hAnsi="Helvetica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万元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60" w:afterAutospacing="0"/>
        <w:ind w:left="0" w:right="0" w:firstLine="480"/>
        <w:jc w:val="left"/>
        <w:textAlignment w:val="baseline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vertAlign w:val="baseline"/>
        </w:rPr>
        <w:t>备注：高层次人才待遇可根据实际情况“一人一议”协商确定。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6594F"/>
    <w:rsid w:val="1026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2020-05-08T03:08:00Z</dcterms:created>
  <dc:creator>ぺ灬cc果冻ル</dc:creator>
  <cp:lastModifiedBy>ぺ灬cc果冻ル</cp:lastModifiedBy>
  <dcterms:modified xsi:type="dcterms:W3CDTF">2020-05-08T03:10:13Z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