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spacing w:line="580" w:lineRule="exact"/>
        <w:ind w:right="64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台州市自然资源和规划局所属事业单位公开选聘工作人员一览表</w:t>
      </w:r>
    </w:p>
    <w:p>
      <w:pPr>
        <w:spacing w:line="580" w:lineRule="exact"/>
        <w:ind w:right="640"/>
        <w:jc w:val="center"/>
        <w:rPr>
          <w:rFonts w:hint="eastAsia" w:ascii="方正小标宋简体" w:hAnsi="方正小标宋简体" w:eastAsia="方正小标宋简体" w:cs="方正小标宋简体"/>
          <w:sz w:val="15"/>
          <w:szCs w:val="15"/>
          <w:lang w:eastAsia="zh-CN"/>
        </w:rPr>
      </w:pPr>
    </w:p>
    <w:tbl>
      <w:tblPr>
        <w:tblStyle w:val="2"/>
        <w:tblpPr w:leftFromText="180" w:rightFromText="180" w:vertAnchor="text" w:horzAnchor="page" w:tblpX="1477" w:tblpY="25"/>
        <w:tblOverlap w:val="never"/>
        <w:tblW w:w="1390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2"/>
        <w:gridCol w:w="646"/>
        <w:gridCol w:w="865"/>
        <w:gridCol w:w="774"/>
        <w:gridCol w:w="773"/>
        <w:gridCol w:w="1846"/>
        <w:gridCol w:w="1777"/>
        <w:gridCol w:w="2492"/>
        <w:gridCol w:w="26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事业单位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经费形式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选聘岗位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岗位类别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选聘人数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学历要求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eastAsia="zh-CN"/>
              </w:rPr>
              <w:t>学位要求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专业要求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其他要求和有关说明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  <w:jc w:val="center"/>
        </w:trPr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台州市规划事务中心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全额拨款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综合管理A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专技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全日制本科及以上</w:t>
            </w: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学士及以上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计算机科学与技术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具有中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计算机专业技术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  <w:jc w:val="center"/>
        </w:trPr>
        <w:tc>
          <w:tcPr>
            <w:tcW w:w="21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综合管理B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专技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城乡规划、土木工程、工程管理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台州市海域使用监管中心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全额拨款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综合管理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专技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全日制本科及以上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firstLine="0" w:firstLineChars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学士及以上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海洋科学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从事海洋管理工作满3年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  <w:jc w:val="center"/>
        </w:trPr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台州市国土空间整治与生态修复中心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全额拨款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综合管理A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专技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全日制本科及以上</w:t>
            </w: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学士</w:t>
            </w:r>
            <w:bookmarkStart w:id="0" w:name="_GoBack"/>
            <w:bookmarkEnd w:id="0"/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及以上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林学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具有中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及以上林业工程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  <w:jc w:val="center"/>
        </w:trPr>
        <w:tc>
          <w:tcPr>
            <w:tcW w:w="21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综合管理B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专技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林学、化学、物理学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从事国土或林业工作满3年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B1045"/>
    <w:rsid w:val="7D4B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unhideWhenUsed/>
    <w:qFormat/>
    <w:uiPriority w:val="0"/>
    <w:rPr>
      <w:rFonts w:hint="default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2020-05-12T02:19:00Z</dcterms:created>
  <dc:creator>杨羽枫</dc:creator>
  <cp:lastModifiedBy>杨羽枫</cp:lastModifiedBy>
  <dcterms:modified xsi:type="dcterms:W3CDTF">2020-05-12T02:42:43Z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