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00" w:beforeAutospacing="0" w:after="376" w:afterAutospacing="0" w:line="351" w:lineRule="atLeast"/>
        <w:ind w:left="376" w:right="376"/>
        <w:jc w:val="center"/>
      </w:pPr>
      <w:bookmarkStart w:id="0" w:name="_GoBack"/>
      <w:r>
        <w:rPr>
          <w:i w:val="0"/>
          <w:caps w:val="0"/>
          <w:color w:val="555555"/>
          <w:spacing w:val="0"/>
          <w:sz w:val="27"/>
          <w:szCs w:val="27"/>
          <w:u w:val="none"/>
          <w:bdr w:val="none" w:color="auto" w:sz="0" w:space="0"/>
        </w:rPr>
        <w:t>江西省药品检查员中心</w:t>
      </w:r>
      <w:r>
        <w:rPr>
          <w:rStyle w:val="7"/>
          <w:rFonts w:ascii="微软雅黑" w:hAnsi="微软雅黑" w:eastAsia="微软雅黑" w:cs="微软雅黑"/>
          <w:b w:val="0"/>
          <w:caps w:val="0"/>
          <w:color w:val="333333"/>
          <w:spacing w:val="0"/>
          <w:sz w:val="22"/>
          <w:szCs w:val="22"/>
          <w:u w:val="none"/>
          <w:bdr w:val="none" w:color="auto" w:sz="0" w:space="0"/>
        </w:rPr>
        <w:t>招聘岗位、</w:t>
      </w:r>
      <w:r>
        <w:rPr>
          <w:rStyle w:val="7"/>
          <w:rFonts w:hint="eastAsia" w:ascii="微软雅黑" w:hAnsi="微软雅黑" w:eastAsia="微软雅黑" w:cs="微软雅黑"/>
          <w:b w:val="0"/>
          <w:caps w:val="0"/>
          <w:color w:val="333333"/>
          <w:spacing w:val="0"/>
          <w:sz w:val="22"/>
          <w:szCs w:val="22"/>
          <w:u w:val="none"/>
          <w:bdr w:val="none" w:color="auto" w:sz="0" w:space="0"/>
        </w:rPr>
        <w:t>人数、条件</w:t>
      </w:r>
    </w:p>
    <w:bookmarkEnd w:id="0"/>
    <w:tbl>
      <w:tblPr>
        <w:tblW w:w="7538" w:type="dxa"/>
        <w:tblInd w:w="376"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Layout w:type="autofit"/>
        <w:tblCellMar>
          <w:top w:w="0" w:type="dxa"/>
          <w:left w:w="0" w:type="dxa"/>
          <w:bottom w:w="0" w:type="dxa"/>
          <w:right w:w="0" w:type="dxa"/>
        </w:tblCellMar>
      </w:tblPr>
      <w:tblGrid>
        <w:gridCol w:w="878"/>
        <w:gridCol w:w="827"/>
        <w:gridCol w:w="715"/>
        <w:gridCol w:w="3913"/>
        <w:gridCol w:w="1205"/>
      </w:tblGrid>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5" w:hRule="atLeast"/>
        </w:trPr>
        <w:tc>
          <w:tcPr>
            <w:tcW w:w="877" w:type="dxa"/>
            <w:tcBorders>
              <w:top w:val="single" w:color="auto" w:sz="4" w:space="0"/>
              <w:left w:val="single" w:color="auto" w:sz="4" w:space="0"/>
              <w:bottom w:val="single" w:color="auto" w:sz="4" w:space="0"/>
              <w:right w:val="single" w:color="auto"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ascii="Arial" w:hAnsi="Arial" w:eastAsia="微软雅黑" w:cs="Arial"/>
                <w:b w:val="0"/>
                <w:caps w:val="0"/>
                <w:color w:val="333333"/>
                <w:spacing w:val="0"/>
                <w:sz w:val="20"/>
                <w:szCs w:val="20"/>
                <w:u w:val="none"/>
                <w:bdr w:val="none" w:color="auto" w:sz="0" w:space="0"/>
              </w:rPr>
              <w:t>岗位名称</w:t>
            </w:r>
          </w:p>
        </w:tc>
        <w:tc>
          <w:tcPr>
            <w:tcW w:w="826" w:type="dxa"/>
            <w:tcBorders>
              <w:top w:val="single" w:color="CCCCCC" w:sz="4" w:space="0"/>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岗位类别</w:t>
            </w:r>
          </w:p>
        </w:tc>
        <w:tc>
          <w:tcPr>
            <w:tcW w:w="714" w:type="dxa"/>
            <w:tcBorders>
              <w:top w:val="single" w:color="CCCCCC" w:sz="4" w:space="0"/>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招聘人数</w:t>
            </w:r>
          </w:p>
        </w:tc>
        <w:tc>
          <w:tcPr>
            <w:tcW w:w="3907" w:type="dxa"/>
            <w:tcBorders>
              <w:top w:val="single" w:color="CCCCCC" w:sz="4" w:space="0"/>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岗位条件</w:t>
            </w:r>
          </w:p>
        </w:tc>
        <w:tc>
          <w:tcPr>
            <w:tcW w:w="1202" w:type="dxa"/>
            <w:tcBorders>
              <w:top w:val="single" w:color="CCCCCC" w:sz="4" w:space="0"/>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备注</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029"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01药品检查岗一</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3</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药学(1007、1055）、中药学(1008、1056）、化学工程与技术(0817)、生物医学工程(0831)、生物工程(0836)、化学工程(085216)、制药工程(085235);研究生学历、硕士及以上学位;年龄30周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1728"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02药品检查岗二</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药学(1007、1055）、中药学(1008、1056）、化学工程与技术(0817)、生物医学工程(0831)、生物工程(0836)、化学工程(085216)、制药工程(085235);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工作地点为赣南检查所，辖区范围赣州市；能适应经常性出差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229"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03药品检查岗三</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药学(1007、1055）、中药学(1008、1056）、化学工程与技术(0817)、生物医学工程(0831)、生物工程(0836)、化学工程(085216)、制药工程(085235);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工作地：赣中检查所，辖区范围吉安、新余2市；能适应经常性出差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116"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04药品检查岗四</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药学(1007、1055）、中药学(1008、1056）、化学工程与技术(0817)、生物医学工程(0831)、生物工程(0836)、化学工程(085216)、制药工程(085235);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工作地：赣东检查所，辖区范围抚州、鹰潭2市 ；能适应经常性出差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129"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05药品检查岗五</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9</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药学(1007、1055）、中药学(1008、1056）、化学工程与技术(0817)、生物医学工程(0831)、生物工程(0836)、化学工程(085216)、制药工程(085235);研究生学历、硕士及以上学位，具有2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5"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06化妆品检查岗</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4</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化学(0703)、生物学(0710)、*材料与化工(0856)、卫生毒理学（100405）、病理学与病理生理学（100104）;研究生学历、硕士及以上学位;具有1年以上工作经历，年龄35周岁以下(1984年5月1日以后出生)。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5"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07医疗器械检查岗一</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医学技术（1010）、生物与医药(0860)、影像医学与核医学（100207、105107）、光学工程(0803)、仪器科学与技术(0804)、材料科学与工程(0805)、电子科学与技术(0809)、材料工程(085204)、仪器仪表工程(085203)、控制工程(085210);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379"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08医疗器械检查岗一</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医学技术（1010）、生物与医药(0860)、影像医学与核医学（100207、105107）、光学工程(0803)、仪器科学与技术(0804)、材料科学与工程(0805)、电子科学与技术(0809)、材料工程(085204)、仪器仪表工程(085203)、控制工程(085210);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工作地：赣西检查所，负责区域宜春、萍乡2市；能适应经常性出差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5"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09医疗器械检查岗一</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医学技术（1010）、生物与医药(0860)、影像医学与核医学（100207、105107）、光学工程(0803)、仪器科学与技术(0804)、材料科学与工程(0805)、电子科学与技术(0809)、材料工程(085204)、仪器仪表工程(085203)、控制工程(085210);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Arial" w:hAnsi="Arial" w:eastAsia="微软雅黑" w:cs="Arial"/>
                <w:b w:val="0"/>
                <w:caps w:val="0"/>
                <w:color w:val="333333"/>
                <w:spacing w:val="0"/>
                <w:sz w:val="20"/>
                <w:szCs w:val="20"/>
                <w:u w:val="none"/>
                <w:bdr w:val="none" w:color="auto" w:sz="0" w:space="0"/>
              </w:rPr>
              <w:t>工作地：赣北检查所，辖区范围上饶、景德镇2市；能适应经常性出差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5"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10医疗器械检查岗二</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6</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8" w:lineRule="atLeast"/>
              <w:ind w:left="0" w:right="0"/>
              <w:jc w:val="both"/>
            </w:pPr>
            <w:r>
              <w:rPr>
                <w:rStyle w:val="7"/>
                <w:rFonts w:ascii="仿宋_GB2312" w:hAnsi="微软雅黑" w:eastAsia="仿宋_GB2312" w:cs="仿宋_GB2312"/>
                <w:b w:val="0"/>
                <w:caps w:val="0"/>
                <w:color w:val="333333"/>
                <w:spacing w:val="0"/>
                <w:sz w:val="20"/>
                <w:szCs w:val="20"/>
                <w:u w:val="none"/>
                <w:bdr w:val="none" w:color="auto" w:sz="0" w:space="0"/>
                <w:shd w:val="clear" w:fill="FFFFFF"/>
              </w:rPr>
              <w:t>医学技术（1010）、</w:t>
            </w: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生物与医药(0860)、影像医学与核医学（100207、105107）、光学工程(0803)、仪器科学与技术(0804)、材料科学与工程(0805)、电子科学与技术(0809)、材料工程(085204)、仪器仪表工程(085203)、控制工程(085210);研究生学历、硕士及以上学位，具有2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能适应经常性出差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1603"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 xml:space="preserve">11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信息岗</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计算机科学与技术(0812)、计算机技术(085211)、软件工程(085212)、电子信息（0854）;研究生学历、硕士及以上学位;具有2年以上工作经历;年龄35周岁以下(1984年5月1日以后出生)。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keepNext w:val="0"/>
              <w:keepLines w:val="0"/>
              <w:widowControl/>
              <w:suppressLineNumbers w:val="0"/>
              <w:wordWrap/>
              <w:spacing w:before="0" w:beforeAutospacing="0" w:after="0" w:afterAutospacing="0" w:line="351" w:lineRule="atLeast"/>
              <w:ind w:left="0" w:right="0"/>
              <w:jc w:val="left"/>
              <w:rPr>
                <w:rFonts w:hint="eastAsia" w:ascii="微软雅黑" w:hAnsi="微软雅黑" w:eastAsia="微软雅黑" w:cs="微软雅黑"/>
                <w:b w:val="0"/>
                <w:i w:val="0"/>
                <w:caps w:val="0"/>
                <w:color w:val="333333"/>
                <w:spacing w:val="0"/>
                <w:sz w:val="17"/>
                <w:szCs w:val="17"/>
                <w:u w:val="none"/>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1603"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12财务岗</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专技岗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会计学（120201）、会计（1253）；研究生学历，硕士及以上学位，具有初级及以上会计师职称，具有2年以上工作经历;年龄35周岁以下(1984年5月1日以后出生)。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keepNext w:val="0"/>
              <w:keepLines w:val="0"/>
              <w:widowControl/>
              <w:suppressLineNumbers w:val="0"/>
              <w:wordWrap/>
              <w:spacing w:before="0" w:beforeAutospacing="0" w:after="0" w:afterAutospacing="0" w:line="351" w:lineRule="atLeast"/>
              <w:ind w:left="0" w:right="0"/>
              <w:jc w:val="left"/>
              <w:rPr>
                <w:rFonts w:hint="eastAsia" w:ascii="微软雅黑" w:hAnsi="微软雅黑" w:eastAsia="微软雅黑" w:cs="微软雅黑"/>
                <w:b w:val="0"/>
                <w:i w:val="0"/>
                <w:caps w:val="0"/>
                <w:color w:val="333333"/>
                <w:spacing w:val="0"/>
                <w:sz w:val="17"/>
                <w:szCs w:val="17"/>
                <w:u w:val="none"/>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116"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13文秘、宣传岗一</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管理岗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中国语言文学(0501)、新闻学(050301)、传播学(050302)、新闻与传播(0552)、行政管理(120401)、档案学（120503）、公共管理（1252）;研究生学历、硕士及以上学位;年龄30周岁以下(1989年5月1日以后出生)。限应届毕业生报考。</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keepNext w:val="0"/>
              <w:keepLines w:val="0"/>
              <w:widowControl/>
              <w:suppressLineNumbers w:val="0"/>
              <w:wordWrap/>
              <w:spacing w:before="0" w:beforeAutospacing="0" w:after="0" w:afterAutospacing="0" w:line="351" w:lineRule="atLeast"/>
              <w:ind w:left="0" w:right="0"/>
              <w:jc w:val="left"/>
              <w:rPr>
                <w:rFonts w:hint="eastAsia" w:ascii="微软雅黑" w:hAnsi="微软雅黑" w:eastAsia="微软雅黑" w:cs="微软雅黑"/>
                <w:b w:val="0"/>
                <w:i w:val="0"/>
                <w:caps w:val="0"/>
                <w:color w:val="333333"/>
                <w:spacing w:val="0"/>
                <w:sz w:val="17"/>
                <w:szCs w:val="17"/>
                <w:u w:val="none"/>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2354"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14文秘、宣传岗二</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管理岗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中国语言文学(0501)、新闻学(050301)、传播学(050302)、新闻与传播(0552)、行政管理(120401)、档案学（120503）、公共管理（1252）;研究生学历、硕士及以上学位;具有2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keepNext w:val="0"/>
              <w:keepLines w:val="0"/>
              <w:widowControl/>
              <w:suppressLineNumbers w:val="0"/>
              <w:wordWrap/>
              <w:spacing w:before="0" w:beforeAutospacing="0" w:after="0" w:afterAutospacing="0" w:line="351" w:lineRule="atLeast"/>
              <w:ind w:left="0" w:right="0"/>
              <w:jc w:val="left"/>
              <w:rPr>
                <w:rFonts w:hint="eastAsia" w:ascii="微软雅黑" w:hAnsi="微软雅黑" w:eastAsia="微软雅黑" w:cs="微软雅黑"/>
                <w:b w:val="0"/>
                <w:i w:val="0"/>
                <w:caps w:val="0"/>
                <w:color w:val="333333"/>
                <w:spacing w:val="0"/>
                <w:sz w:val="17"/>
                <w:szCs w:val="17"/>
                <w:u w:val="none"/>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1653" w:hRule="atLeast"/>
        </w:trPr>
        <w:tc>
          <w:tcPr>
            <w:tcW w:w="877" w:type="dxa"/>
            <w:tcBorders>
              <w:top w:val="nil"/>
              <w:left w:val="single" w:color="CCCCCC" w:sz="4" w:space="0"/>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15法律岗</w:t>
            </w:r>
          </w:p>
        </w:tc>
        <w:tc>
          <w:tcPr>
            <w:tcW w:w="826"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管理岗</w:t>
            </w:r>
          </w:p>
        </w:tc>
        <w:tc>
          <w:tcPr>
            <w:tcW w:w="714"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38" w:lineRule="atLeast"/>
              <w:ind w:left="0" w:right="0"/>
              <w:jc w:val="center"/>
            </w:pPr>
            <w:r>
              <w:rPr>
                <w:rStyle w:val="7"/>
                <w:rFonts w:hint="default" w:ascii="Arial" w:hAnsi="Arial" w:eastAsia="微软雅黑" w:cs="Arial"/>
                <w:b w:val="0"/>
                <w:caps w:val="0"/>
                <w:color w:val="333333"/>
                <w:spacing w:val="0"/>
                <w:sz w:val="20"/>
                <w:szCs w:val="20"/>
                <w:u w:val="none"/>
                <w:bdr w:val="none" w:color="auto" w:sz="0" w:space="0"/>
              </w:rPr>
              <w:t>1</w:t>
            </w:r>
          </w:p>
        </w:tc>
        <w:tc>
          <w:tcPr>
            <w:tcW w:w="3907" w:type="dxa"/>
            <w:tcBorders>
              <w:top w:val="nil"/>
              <w:left w:val="nil"/>
              <w:bottom w:val="single" w:color="CCCCCC" w:sz="4" w:space="0"/>
              <w:right w:val="single" w:color="CCCCCC" w:sz="4" w:space="0"/>
            </w:tcBorders>
            <w:shd w:val="clear"/>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1" w:lineRule="atLeast"/>
              <w:ind w:left="0" w:right="0"/>
              <w:jc w:val="both"/>
            </w:pPr>
            <w:r>
              <w:rPr>
                <w:rStyle w:val="7"/>
                <w:rFonts w:hint="default" w:ascii="仿宋_GB2312" w:hAnsi="微软雅黑" w:eastAsia="仿宋_GB2312" w:cs="仿宋_GB2312"/>
                <w:b w:val="0"/>
                <w:caps w:val="0"/>
                <w:color w:val="333333"/>
                <w:spacing w:val="0"/>
                <w:sz w:val="20"/>
                <w:szCs w:val="20"/>
                <w:u w:val="none"/>
                <w:bdr w:val="none" w:color="auto" w:sz="0" w:space="0"/>
                <w:shd w:val="clear" w:fill="FFFFFF"/>
              </w:rPr>
              <w:t>法学（0301）、法律（0351）；研究生学历、硕士及以上学位;中共党员,具有2年以上工作经历;年龄35周岁以下(1984年5月1日以后出生)。</w:t>
            </w:r>
          </w:p>
        </w:tc>
        <w:tc>
          <w:tcPr>
            <w:tcW w:w="1202" w:type="dxa"/>
            <w:tcBorders>
              <w:top w:val="nil"/>
              <w:left w:val="nil"/>
              <w:bottom w:val="single" w:color="CCCCCC" w:sz="4" w:space="0"/>
              <w:right w:val="single" w:color="CCCCCC" w:sz="4" w:space="0"/>
            </w:tcBorders>
            <w:shd w:val="clear"/>
            <w:tcMar>
              <w:left w:w="88" w:type="dxa"/>
              <w:right w:w="88" w:type="dxa"/>
            </w:tcMar>
            <w:vAlign w:val="center"/>
          </w:tcPr>
          <w:p>
            <w:pPr>
              <w:keepNext w:val="0"/>
              <w:keepLines w:val="0"/>
              <w:widowControl/>
              <w:suppressLineNumbers w:val="0"/>
              <w:wordWrap/>
              <w:spacing w:before="0" w:beforeAutospacing="0" w:after="0" w:afterAutospacing="0" w:line="351" w:lineRule="atLeast"/>
              <w:ind w:left="0" w:right="0"/>
              <w:jc w:val="left"/>
              <w:rPr>
                <w:rFonts w:hint="eastAsia" w:ascii="微软雅黑" w:hAnsi="微软雅黑" w:eastAsia="微软雅黑" w:cs="微软雅黑"/>
                <w:b w:val="0"/>
                <w:i w:val="0"/>
                <w:caps w:val="0"/>
                <w:color w:val="333333"/>
                <w:spacing w:val="0"/>
                <w:sz w:val="17"/>
                <w:szCs w:val="17"/>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2" w:beforeAutospacing="0" w:after="476" w:afterAutospacing="0" w:line="28" w:lineRule="atLeast"/>
        <w:ind w:left="376" w:right="376" w:firstLine="420"/>
        <w:jc w:val="both"/>
      </w:pPr>
      <w:r>
        <w:rPr>
          <w:rStyle w:val="7"/>
          <w:rFonts w:hint="eastAsia" w:ascii="微软雅黑" w:hAnsi="微软雅黑" w:eastAsia="微软雅黑" w:cs="微软雅黑"/>
          <w:b w:val="0"/>
          <w:caps w:val="0"/>
          <w:color w:val="333333"/>
          <w:spacing w:val="0"/>
          <w:sz w:val="22"/>
          <w:szCs w:val="22"/>
          <w:u w:val="none"/>
          <w:bdr w:val="none" w:color="auto" w:sz="0" w:space="0"/>
        </w:rPr>
        <w:t>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2" w:beforeAutospacing="0" w:after="476" w:afterAutospacing="0" w:line="28" w:lineRule="atLeast"/>
        <w:ind w:left="376" w:right="376" w:firstLine="420"/>
        <w:jc w:val="both"/>
      </w:pPr>
      <w:r>
        <w:rPr>
          <w:rStyle w:val="7"/>
          <w:rFonts w:hint="eastAsia" w:ascii="微软雅黑" w:hAnsi="微软雅黑" w:eastAsia="微软雅黑" w:cs="微软雅黑"/>
          <w:b w:val="0"/>
          <w:caps w:val="0"/>
          <w:color w:val="333333"/>
          <w:spacing w:val="0"/>
          <w:sz w:val="22"/>
          <w:szCs w:val="22"/>
          <w:u w:val="none"/>
          <w:bdr w:val="none" w:color="auto" w:sz="0" w:space="0"/>
        </w:rPr>
        <w:t>1、以上岗位条件中的专业名称后括号内的数字为学科专业代码；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2" w:beforeAutospacing="0" w:after="476" w:afterAutospacing="0" w:line="28" w:lineRule="atLeast"/>
        <w:ind w:left="376" w:right="376" w:firstLine="420"/>
        <w:jc w:val="both"/>
      </w:pPr>
      <w:r>
        <w:rPr>
          <w:rStyle w:val="7"/>
          <w:rFonts w:hint="eastAsia" w:ascii="微软雅黑" w:hAnsi="微软雅黑" w:eastAsia="微软雅黑" w:cs="微软雅黑"/>
          <w:b w:val="0"/>
          <w:caps w:val="0"/>
          <w:color w:val="333333"/>
          <w:spacing w:val="0"/>
          <w:sz w:val="22"/>
          <w:szCs w:val="22"/>
          <w:u w:val="none"/>
          <w:bdr w:val="none" w:color="auto" w:sz="0" w:space="0"/>
        </w:rPr>
        <w:t>2、 国外学历须经教育部留学服务中心认证，2020年应届毕业生须在2020年7月31日前取得学历和学位证书（受疫情影响需延期毕业的，按教育部门有关规定执行），未取得学历学位者，取消聘用资格。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302" w:beforeAutospacing="0" w:after="476" w:afterAutospacing="0" w:line="28" w:lineRule="atLeast"/>
        <w:ind w:left="376" w:right="376" w:firstLine="420"/>
        <w:jc w:val="both"/>
      </w:pPr>
      <w:r>
        <w:rPr>
          <w:rStyle w:val="7"/>
          <w:rFonts w:hint="eastAsia" w:ascii="微软雅黑" w:hAnsi="微软雅黑" w:eastAsia="微软雅黑" w:cs="微软雅黑"/>
          <w:b w:val="0"/>
          <w:caps w:val="0"/>
          <w:color w:val="333333"/>
          <w:spacing w:val="0"/>
          <w:sz w:val="22"/>
          <w:szCs w:val="22"/>
          <w:u w:val="none"/>
          <w:bdr w:val="none" w:color="auto" w:sz="0" w:space="0"/>
        </w:rPr>
        <w:t>3.限应届毕业生报考的岗位，择业期内未落实单位的高校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人才交流服务机构和各级公共就业服务机构的毕业生）也可报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75037"/>
    <w:rsid w:val="617750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5"/>
      <w:szCs w:val="45"/>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Emphasis"/>
    <w:basedOn w:val="5"/>
    <w:qFormat/>
    <w:uiPriority w:val="0"/>
  </w:style>
  <w:style w:type="character" w:styleId="8">
    <w:name w:val="Hyperlink"/>
    <w:basedOn w:val="5"/>
    <w:uiPriority w:val="0"/>
    <w:rPr>
      <w:color w:val="333333"/>
      <w:u w:val="none"/>
    </w:rPr>
  </w:style>
  <w:style w:type="character" w:customStyle="1" w:styleId="9">
    <w:name w:val="current"/>
    <w:basedOn w:val="5"/>
    <w:uiPriority w:val="0"/>
    <w:rPr>
      <w:color w:val="FFFFFF"/>
      <w:shd w:val="clear" w:fill="409EFF"/>
    </w:rPr>
  </w:style>
  <w:style w:type="character" w:customStyle="1" w:styleId="10">
    <w:name w:val="nav_news_zwgk_zzjgicon"/>
    <w:basedOn w:val="5"/>
    <w:uiPriority w:val="0"/>
    <w:rPr>
      <w:color w:val="0D64B4"/>
      <w:sz w:val="35"/>
      <w:szCs w:val="35"/>
      <w:bdr w:val="single" w:color="C1E1FF" w:sz="4" w:space="0"/>
      <w:shd w:val="clear" w:fill="E8F7FF"/>
    </w:rPr>
  </w:style>
  <w:style w:type="character" w:customStyle="1" w:styleId="11">
    <w:name w:val="hover30"/>
    <w:basedOn w:val="5"/>
    <w:uiPriority w:val="0"/>
    <w:rPr>
      <w:color w:val="66B1FF"/>
    </w:rPr>
  </w:style>
  <w:style w:type="character" w:customStyle="1" w:styleId="12">
    <w:name w:val="after"/>
    <w:basedOn w:val="5"/>
    <w:uiPriority w:val="0"/>
  </w:style>
  <w:style w:type="character" w:customStyle="1" w:styleId="13">
    <w:name w:val="after1"/>
    <w:basedOn w:val="5"/>
    <w:uiPriority w:val="0"/>
  </w:style>
  <w:style w:type="character" w:customStyle="1" w:styleId="14">
    <w:name w:val="before1"/>
    <w:basedOn w:val="5"/>
    <w:uiPriority w:val="0"/>
    <w:rPr>
      <w:rFonts w:hint="default" w:ascii="iconfont" w:hAnsi="iconfont" w:eastAsia="iconfont" w:cs="iconfont"/>
      <w:color w:val="292929"/>
      <w:sz w:val="25"/>
      <w:szCs w:val="25"/>
    </w:rPr>
  </w:style>
  <w:style w:type="character" w:customStyle="1" w:styleId="15">
    <w:name w:val="slidedonw"/>
    <w:basedOn w:val="5"/>
    <w:uiPriority w:val="0"/>
    <w:rPr>
      <w:vanish/>
    </w:rPr>
  </w:style>
  <w:style w:type="character" w:customStyle="1" w:styleId="16">
    <w:name w:val="on"/>
    <w:basedOn w:val="5"/>
    <w:uiPriority w:val="0"/>
  </w:style>
  <w:style w:type="character" w:customStyle="1" w:styleId="17">
    <w:name w:val="before"/>
    <w:basedOn w:val="5"/>
    <w:uiPriority w:val="0"/>
    <w:rPr>
      <w:rFonts w:hint="default" w:ascii="iconfont" w:hAnsi="iconfont" w:eastAsia="iconfont" w:cs="iconfont"/>
      <w:color w:val="292929"/>
      <w:sz w:val="25"/>
      <w:szCs w:val="2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2020-05-13T07:27:00Z</dcterms:created>
  <dc:creator>ASUS</dc:creator>
  <cp:lastModifiedBy>ASUS</cp:lastModifiedBy>
  <dcterms:modified xsi:type="dcterms:W3CDTF">2020-05-13T07:28:00Z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