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after="0" w:afterAutospacing="0" w:line="240" w:lineRule="exact"/>
        <w:jc w:val="both"/>
        <w:textAlignment w:val="auto"/>
        <w:rPr>
          <w:rFonts w:hint="eastAsia" w:ascii="楷体_GB2312" w:hAnsi="黑体" w:eastAsia="楷体_GB2312"/>
          <w:b w:val="0"/>
          <w:color w:val="333333"/>
          <w:sz w:val="28"/>
          <w:szCs w:val="28"/>
        </w:rPr>
      </w:pPr>
      <w:r>
        <w:rPr>
          <w:rFonts w:hint="eastAsia" w:ascii="楷体_GB2312" w:hAnsi="黑体" w:eastAsia="楷体_GB2312"/>
          <w:b w:val="0"/>
          <w:color w:val="333333"/>
          <w:sz w:val="28"/>
          <w:szCs w:val="28"/>
        </w:rPr>
        <w:t>附件</w:t>
      </w:r>
      <w:r>
        <w:rPr>
          <w:rFonts w:hint="eastAsia" w:ascii="楷体_GB2312" w:hAnsi="黑体" w:eastAsia="楷体_GB2312"/>
          <w:b w:val="0"/>
          <w:color w:val="333333"/>
          <w:sz w:val="28"/>
          <w:szCs w:val="28"/>
          <w:lang w:val="en-US" w:eastAsia="zh-CN"/>
        </w:rPr>
        <w:t>1</w:t>
      </w:r>
      <w:r>
        <w:rPr>
          <w:rFonts w:hint="eastAsia" w:ascii="楷体_GB2312" w:hAnsi="黑体" w:eastAsia="楷体_GB2312"/>
          <w:b w:val="0"/>
          <w:color w:val="333333"/>
          <w:sz w:val="28"/>
          <w:szCs w:val="28"/>
        </w:rPr>
        <w:t>：</w:t>
      </w:r>
    </w:p>
    <w:tbl>
      <w:tblPr>
        <w:tblStyle w:val="4"/>
        <w:tblW w:w="13988" w:type="dxa"/>
        <w:tblInd w:w="0" w:type="dxa"/>
        <w:tblLayout w:type="fixed"/>
        <w:tblCellMar>
          <w:top w:w="0" w:type="dxa"/>
          <w:left w:w="0" w:type="dxa"/>
          <w:bottom w:w="0" w:type="dxa"/>
          <w:right w:w="0" w:type="dxa"/>
        </w:tblCellMar>
      </w:tblPr>
      <w:tblGrid>
        <w:gridCol w:w="1555"/>
        <w:gridCol w:w="2177"/>
        <w:gridCol w:w="705"/>
        <w:gridCol w:w="1480"/>
        <w:gridCol w:w="1287"/>
        <w:gridCol w:w="2353"/>
        <w:gridCol w:w="1472"/>
        <w:gridCol w:w="1832"/>
        <w:gridCol w:w="1127"/>
      </w:tblGrid>
      <w:tr>
        <w:tblPrEx>
          <w:tblLayout w:type="fixed"/>
          <w:tblCellMar>
            <w:top w:w="0" w:type="dxa"/>
            <w:left w:w="0" w:type="dxa"/>
            <w:bottom w:w="0" w:type="dxa"/>
            <w:right w:w="0" w:type="dxa"/>
          </w:tblCellMar>
        </w:tblPrEx>
        <w:trPr>
          <w:trHeight w:val="890" w:hRule="atLeast"/>
        </w:trPr>
        <w:tc>
          <w:tcPr>
            <w:tcW w:w="13988" w:type="dxa"/>
            <w:gridSpan w:val="9"/>
            <w:tcBorders>
              <w:top w:val="nil"/>
              <w:left w:val="nil"/>
              <w:bottom w:val="single" w:color="000000" w:sz="4" w:space="0"/>
              <w:right w:val="nil"/>
            </w:tcBorders>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华文中宋" w:hAnsi="华文中宋" w:eastAsia="华文中宋" w:cs="华文中宋"/>
                <w:i w:val="0"/>
                <w:color w:val="000000"/>
                <w:kern w:val="0"/>
                <w:sz w:val="40"/>
                <w:szCs w:val="40"/>
                <w:u w:val="none"/>
                <w:lang w:val="en-US" w:eastAsia="zh-CN" w:bidi="ar"/>
              </w:rPr>
              <w:t>晋城市应急管理局公开引进全日制硕士研究生及以上学历高层次人才计划表</w:t>
            </w:r>
          </w:p>
        </w:tc>
      </w:tr>
      <w:tr>
        <w:tblPrEx>
          <w:tblLayout w:type="fixed"/>
          <w:tblCellMar>
            <w:top w:w="0" w:type="dxa"/>
            <w:left w:w="0" w:type="dxa"/>
            <w:bottom w:w="0" w:type="dxa"/>
            <w:right w:w="0" w:type="dxa"/>
          </w:tblCellMar>
        </w:tblPrEx>
        <w:trPr>
          <w:trHeight w:val="480" w:hRule="atLeast"/>
        </w:trPr>
        <w:tc>
          <w:tcPr>
            <w:tcW w:w="1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主管部门</w:t>
            </w:r>
          </w:p>
        </w:tc>
        <w:tc>
          <w:tcPr>
            <w:tcW w:w="21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引进单位</w:t>
            </w: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名额</w:t>
            </w:r>
          </w:p>
        </w:tc>
        <w:tc>
          <w:tcPr>
            <w:tcW w:w="148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lang w:eastAsia="zh-CN"/>
              </w:rPr>
            </w:pPr>
            <w:r>
              <w:rPr>
                <w:rFonts w:hint="eastAsia" w:ascii="黑体" w:hAnsi="宋体" w:eastAsia="黑体" w:cs="黑体"/>
                <w:i w:val="0"/>
                <w:color w:val="000000"/>
                <w:sz w:val="28"/>
                <w:szCs w:val="28"/>
                <w:u w:val="none"/>
                <w:lang w:eastAsia="zh-CN"/>
              </w:rPr>
              <w:t>单位性质</w:t>
            </w:r>
          </w:p>
        </w:tc>
        <w:tc>
          <w:tcPr>
            <w:tcW w:w="1287"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岗位类别</w:t>
            </w:r>
          </w:p>
        </w:tc>
        <w:tc>
          <w:tcPr>
            <w:tcW w:w="56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引进条件</w:t>
            </w:r>
          </w:p>
        </w:tc>
        <w:tc>
          <w:tcPr>
            <w:tcW w:w="1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480" w:hRule="atLeast"/>
        </w:trPr>
        <w:tc>
          <w:tcPr>
            <w:tcW w:w="1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1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48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287"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专业</w:t>
            </w:r>
          </w:p>
        </w:tc>
        <w:tc>
          <w:tcPr>
            <w:tcW w:w="1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学历</w:t>
            </w:r>
          </w:p>
        </w:tc>
        <w:tc>
          <w:tcPr>
            <w:tcW w:w="1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年龄</w:t>
            </w:r>
          </w:p>
        </w:tc>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Layout w:type="fixed"/>
          <w:tblCellMar>
            <w:top w:w="0" w:type="dxa"/>
            <w:left w:w="0" w:type="dxa"/>
            <w:bottom w:w="0" w:type="dxa"/>
            <w:right w:w="0" w:type="dxa"/>
          </w:tblCellMar>
        </w:tblPrEx>
        <w:trPr>
          <w:trHeight w:val="5215" w:hRule="atLeast"/>
        </w:trPr>
        <w:tc>
          <w:tcPr>
            <w:tcW w:w="155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sz w:val="28"/>
                <w:szCs w:val="28"/>
                <w:u w:val="none"/>
                <w:lang w:eastAsia="zh-CN"/>
              </w:rPr>
            </w:pPr>
            <w:r>
              <w:rPr>
                <w:rFonts w:hint="eastAsia" w:ascii="华文仿宋" w:hAnsi="华文仿宋" w:eastAsia="华文仿宋" w:cs="华文仿宋"/>
                <w:i w:val="0"/>
                <w:color w:val="000000"/>
                <w:sz w:val="28"/>
                <w:szCs w:val="28"/>
                <w:u w:val="none"/>
                <w:lang w:eastAsia="zh-CN"/>
              </w:rPr>
              <w:t>晋城市应急管理局</w:t>
            </w:r>
          </w:p>
        </w:tc>
        <w:tc>
          <w:tcPr>
            <w:tcW w:w="217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sz w:val="28"/>
                <w:szCs w:val="28"/>
                <w:u w:val="none"/>
              </w:rPr>
            </w:pPr>
            <w:r>
              <w:rPr>
                <w:rFonts w:hint="eastAsia" w:ascii="华文仿宋" w:hAnsi="华文仿宋" w:eastAsia="华文仿宋" w:cs="华文仿宋"/>
                <w:i w:val="0"/>
                <w:color w:val="000000"/>
                <w:kern w:val="0"/>
                <w:sz w:val="28"/>
                <w:szCs w:val="28"/>
                <w:u w:val="none"/>
                <w:lang w:val="en-US" w:eastAsia="zh-CN" w:bidi="ar"/>
              </w:rPr>
              <w:t>晋城市危险化学品技术保障中心</w:t>
            </w:r>
          </w:p>
        </w:tc>
        <w:tc>
          <w:tcPr>
            <w:tcW w:w="7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sz w:val="28"/>
                <w:szCs w:val="28"/>
                <w:u w:val="none"/>
                <w:lang w:val="en-US" w:eastAsia="zh-CN"/>
              </w:rPr>
            </w:pPr>
            <w:r>
              <w:rPr>
                <w:rFonts w:hint="eastAsia" w:ascii="华文仿宋" w:hAnsi="华文仿宋" w:eastAsia="华文仿宋" w:cs="华文仿宋"/>
                <w:i w:val="0"/>
                <w:color w:val="000000"/>
                <w:sz w:val="28"/>
                <w:szCs w:val="28"/>
                <w:u w:val="none"/>
                <w:lang w:val="en-US" w:eastAsia="zh-CN"/>
              </w:rPr>
              <w:t>1</w:t>
            </w:r>
          </w:p>
        </w:tc>
        <w:tc>
          <w:tcPr>
            <w:tcW w:w="14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sz w:val="28"/>
                <w:szCs w:val="28"/>
                <w:u w:val="none"/>
                <w:lang w:eastAsia="zh-CN"/>
              </w:rPr>
            </w:pPr>
            <w:r>
              <w:rPr>
                <w:rFonts w:hint="eastAsia" w:ascii="华文仿宋" w:hAnsi="华文仿宋" w:eastAsia="华文仿宋" w:cs="华文仿宋"/>
                <w:i w:val="0"/>
                <w:color w:val="000000"/>
                <w:sz w:val="28"/>
                <w:szCs w:val="28"/>
                <w:u w:val="none"/>
                <w:lang w:eastAsia="zh-CN"/>
              </w:rPr>
              <w:t>全额</w:t>
            </w:r>
          </w:p>
        </w:tc>
        <w:tc>
          <w:tcPr>
            <w:tcW w:w="12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kern w:val="0"/>
                <w:sz w:val="28"/>
                <w:szCs w:val="28"/>
                <w:u w:val="none"/>
                <w:lang w:val="en-US" w:eastAsia="zh-CN" w:bidi="ar"/>
              </w:rPr>
            </w:pPr>
            <w:r>
              <w:rPr>
                <w:rFonts w:hint="eastAsia" w:ascii="华文仿宋" w:hAnsi="华文仿宋" w:eastAsia="华文仿宋" w:cs="华文仿宋"/>
                <w:i w:val="0"/>
                <w:color w:val="000000"/>
                <w:kern w:val="0"/>
                <w:sz w:val="28"/>
                <w:szCs w:val="28"/>
                <w:u w:val="none"/>
                <w:lang w:val="en-US" w:eastAsia="zh-CN" w:bidi="ar"/>
              </w:rPr>
              <w:t>专技</w:t>
            </w:r>
          </w:p>
        </w:tc>
        <w:tc>
          <w:tcPr>
            <w:tcW w:w="23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kern w:val="0"/>
                <w:sz w:val="28"/>
                <w:szCs w:val="28"/>
                <w:u w:val="none"/>
                <w:lang w:val="en-US" w:eastAsia="zh-CN" w:bidi="ar"/>
              </w:rPr>
            </w:pPr>
            <w:r>
              <w:rPr>
                <w:rFonts w:hint="eastAsia" w:ascii="华文仿宋" w:hAnsi="华文仿宋" w:eastAsia="华文仿宋" w:cs="华文仿宋"/>
                <w:i w:val="0"/>
                <w:color w:val="000000"/>
                <w:kern w:val="0"/>
                <w:sz w:val="28"/>
                <w:szCs w:val="28"/>
                <w:u w:val="none"/>
                <w:lang w:val="en-US" w:eastAsia="zh-CN" w:bidi="ar"/>
              </w:rPr>
              <w:t>化学工业、化学工程、化学工艺类</w:t>
            </w:r>
          </w:p>
        </w:tc>
        <w:tc>
          <w:tcPr>
            <w:tcW w:w="1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kern w:val="0"/>
                <w:sz w:val="28"/>
                <w:szCs w:val="28"/>
                <w:u w:val="none"/>
                <w:lang w:val="en-US" w:eastAsia="zh-CN" w:bidi="ar"/>
              </w:rPr>
            </w:pPr>
            <w:r>
              <w:rPr>
                <w:rFonts w:hint="eastAsia" w:ascii="华文仿宋" w:hAnsi="华文仿宋" w:eastAsia="华文仿宋" w:cs="华文仿宋"/>
                <w:i w:val="0"/>
                <w:color w:val="000000"/>
                <w:kern w:val="0"/>
                <w:sz w:val="28"/>
                <w:szCs w:val="28"/>
                <w:u w:val="none"/>
                <w:lang w:val="en-US" w:eastAsia="zh-CN" w:bidi="ar"/>
              </w:rPr>
              <w:t>全日制硕士研究生及以上</w:t>
            </w:r>
          </w:p>
        </w:tc>
        <w:tc>
          <w:tcPr>
            <w:tcW w:w="1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kern w:val="0"/>
                <w:sz w:val="28"/>
                <w:szCs w:val="28"/>
                <w:u w:val="none"/>
                <w:lang w:val="en-US" w:eastAsia="zh-CN" w:bidi="ar"/>
              </w:rPr>
            </w:pPr>
            <w:r>
              <w:rPr>
                <w:rFonts w:hint="eastAsia" w:ascii="华文仿宋" w:hAnsi="华文仿宋" w:eastAsia="华文仿宋" w:cs="华文仿宋"/>
                <w:i w:val="0"/>
                <w:color w:val="000000"/>
                <w:kern w:val="0"/>
                <w:sz w:val="28"/>
                <w:szCs w:val="28"/>
                <w:u w:val="none"/>
                <w:lang w:val="en-US" w:eastAsia="zh-CN" w:bidi="ar"/>
              </w:rPr>
              <w:t>全日制硕士研究生年龄须在35周岁及以下（1985年5月1日及以后出生）；全日制博士研究生年龄须在40周岁及以下（1980年5月1日及以后出生）</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00" w:lineRule="atLeast"/>
              <w:jc w:val="center"/>
              <w:textAlignment w:val="center"/>
              <w:rPr>
                <w:rFonts w:hint="eastAsia" w:ascii="华文仿宋" w:hAnsi="华文仿宋" w:eastAsia="华文仿宋" w:cs="华文仿宋"/>
                <w:i w:val="0"/>
                <w:color w:val="000000"/>
                <w:sz w:val="28"/>
                <w:szCs w:val="28"/>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00061"/>
    <w:rsid w:val="7EF0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2020-05-16T01:15:00Z</dcterms:created>
  <dc:creator>花瓣相伴</dc:creator>
  <cp:lastModifiedBy>花瓣相伴</cp:lastModifiedBy>
  <dcterms:modified xsi:type="dcterms:W3CDTF">2020-05-16T01:16:24Z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