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84" w:firstLineChars="20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Fonts w:hint="eastAsia" w:ascii="宋体" w:hAnsi="宋体" w:eastAsia="宋体" w:cs="宋体"/>
          <w:sz w:val="19"/>
          <w:szCs w:val="19"/>
        </w:rPr>
        <w:t>招聘岗位及具体条件</w:t>
      </w:r>
    </w:p>
    <w:tbl>
      <w:tblPr>
        <w:tblW w:w="72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84" w:type="dxa"/>
          <w:bottom w:w="0" w:type="dxa"/>
          <w:right w:w="84" w:type="dxa"/>
        </w:tblCellMar>
      </w:tblPr>
      <w:tblGrid>
        <w:gridCol w:w="480"/>
        <w:gridCol w:w="1332"/>
        <w:gridCol w:w="1020"/>
        <w:gridCol w:w="576"/>
        <w:gridCol w:w="3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trHeight w:val="52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招聘部门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</w:rPr>
              <w:t>招聘数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专业要求或其他具体要求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trHeight w:val="46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人工智能教育研究院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、有人工智能或教育专业知识背景；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、具有行政管理经历，或具有人工智能教育行业从业背景；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、原则上年龄不超过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trHeight w:val="46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纪委办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监督检查室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、中共党员；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、法律专业或会计专业；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、应届毕业生须在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月前取得学历学位；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、擅长公文写作，熟悉办公软件操作；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、原则上年龄不超过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岁。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2A5E"/>
    <w:rsid w:val="0DCE6DB4"/>
    <w:rsid w:val="1DDE4E36"/>
    <w:rsid w:val="2748698D"/>
    <w:rsid w:val="43F75575"/>
    <w:rsid w:val="48ED1EFC"/>
    <w:rsid w:val="671426EE"/>
    <w:rsid w:val="731A1328"/>
    <w:rsid w:val="7A4D4B65"/>
    <w:rsid w:val="7C963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character" w:customStyle="1" w:styleId="9">
    <w:name w:val="item-name"/>
    <w:basedOn w:val="4"/>
    <w:uiPriority w:val="0"/>
    <w:rPr>
      <w:color w:val="555555"/>
    </w:rPr>
  </w:style>
  <w:style w:type="character" w:customStyle="1" w:styleId="10">
    <w:name w:val="item-name1"/>
    <w:basedOn w:val="4"/>
    <w:qFormat/>
    <w:uiPriority w:val="0"/>
    <w:rPr>
      <w:u w:val="single"/>
    </w:rPr>
  </w:style>
  <w:style w:type="character" w:customStyle="1" w:styleId="11">
    <w:name w:val="item-name2"/>
    <w:basedOn w:val="4"/>
    <w:qFormat/>
    <w:uiPriority w:val="0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2020-05-19T03:06:56Z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