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7" w:type="dxa"/>
        <w:tblCellSpacing w:w="0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"/>
        <w:gridCol w:w="950"/>
        <w:gridCol w:w="817"/>
        <w:gridCol w:w="933"/>
        <w:gridCol w:w="3050"/>
        <w:gridCol w:w="950"/>
        <w:gridCol w:w="1130"/>
      </w:tblGrid>
      <w:tr w:rsidR="005079BA" w:rsidRPr="005079BA" w:rsidTr="005079BA">
        <w:trPr>
          <w:tblCellSpacing w:w="0" w:type="dxa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招聘</w:t>
            </w:r>
          </w:p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岗位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岗位类别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岗位</w:t>
            </w:r>
          </w:p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职责</w:t>
            </w: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招聘专业及学历（学位）要求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招聘</w:t>
            </w:r>
          </w:p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范围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其他资格条件</w:t>
            </w:r>
          </w:p>
        </w:tc>
      </w:tr>
      <w:tr w:rsidR="005079BA" w:rsidRPr="005079BA" w:rsidTr="005079BA">
        <w:trPr>
          <w:trHeight w:val="1455"/>
          <w:tblCellSpacing w:w="0" w:type="dxa"/>
        </w:trPr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药品</w:t>
            </w:r>
          </w:p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检验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专技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从事药品</w:t>
            </w:r>
          </w:p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检验工作。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本科阶段专业要求：药学类或化学类；</w:t>
            </w:r>
          </w:p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研究生阶段专业要求：药学一级学科下的药物化学、药物分析学二级学科专业或化学一级学科下的无机化学、分析化学、有机化学二级学科专业；研究生及以上学历，硕士及以上学位。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面向全国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79BA" w:rsidRPr="005079BA" w:rsidRDefault="005079BA" w:rsidP="005079B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5079BA">
              <w:rPr>
                <w:rFonts w:ascii="宋体" w:eastAsia="宋体" w:hAnsi="宋体" w:cs="宋体"/>
                <w:sz w:val="24"/>
                <w:szCs w:val="24"/>
              </w:rPr>
              <w:t>已取得学历学位的历届毕业生，年龄35周岁以下。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079BA"/>
    <w:rsid w:val="000B55A6"/>
    <w:rsid w:val="00323B43"/>
    <w:rsid w:val="003D37D8"/>
    <w:rsid w:val="004358AB"/>
    <w:rsid w:val="005079BA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5079B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2020-05-29T00:51:00Z</dcterms:created>
  <dcterms:modified xsi:type="dcterms:W3CDTF">2020-05-29T00:53:00Z</dcterms:modified>
</cp:coreProperties>
</file>