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52" w:rsidRDefault="00051152" w:rsidP="00051152">
      <w:pPr>
        <w:pStyle w:val="a5"/>
        <w:widowControl w:val="0"/>
        <w:shd w:val="clear" w:color="auto" w:fill="FFFFFF"/>
        <w:tabs>
          <w:tab w:val="left" w:pos="220"/>
        </w:tabs>
        <w:spacing w:before="0" w:beforeAutospacing="0" w:after="0" w:afterAutospacing="0" w:line="640" w:lineRule="exact"/>
        <w:jc w:val="both"/>
        <w:rPr>
          <w:rFonts w:ascii="方正小标宋_GBK" w:eastAsia="方正小标宋_GBK"/>
          <w:w w:val="95"/>
          <w:sz w:val="44"/>
          <w:szCs w:val="44"/>
          <w:shd w:val="clear" w:color="auto" w:fill="FFFFFF"/>
        </w:rPr>
      </w:pPr>
      <w:r w:rsidRPr="00D46EDB">
        <w:rPr>
          <w:rFonts w:ascii="黑体" w:eastAsia="黑体" w:hAnsi="黑体"/>
          <w:w w:val="95"/>
          <w:sz w:val="32"/>
          <w:szCs w:val="32"/>
          <w:shd w:val="clear" w:color="auto" w:fill="FFFFFF"/>
        </w:rPr>
        <w:tab/>
        <w:t>附表</w:t>
      </w:r>
      <w:r w:rsidRPr="00D46EDB">
        <w:rPr>
          <w:rFonts w:ascii="黑体" w:eastAsia="黑体" w:hAnsi="黑体" w:hint="eastAsia"/>
          <w:w w:val="95"/>
          <w:sz w:val="32"/>
          <w:szCs w:val="32"/>
          <w:shd w:val="clear" w:color="auto" w:fill="FFFFFF"/>
        </w:rPr>
        <w:t>1：</w:t>
      </w:r>
    </w:p>
    <w:p w:rsidR="00051152" w:rsidRDefault="00051152" w:rsidP="00051152">
      <w:pPr>
        <w:pStyle w:val="a5"/>
        <w:widowControl w:val="0"/>
        <w:shd w:val="clear" w:color="auto" w:fill="FFFFFF"/>
        <w:spacing w:before="0" w:beforeAutospacing="0" w:after="0" w:afterAutospacing="0" w:line="640" w:lineRule="exact"/>
        <w:jc w:val="center"/>
        <w:rPr>
          <w:rFonts w:ascii="方正小标宋_GBK" w:eastAsia="方正小标宋_GBK"/>
          <w:w w:val="95"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w w:val="95"/>
          <w:sz w:val="44"/>
          <w:szCs w:val="44"/>
          <w:shd w:val="clear" w:color="auto" w:fill="FFFFFF"/>
        </w:rPr>
        <w:t>阜宁县自然资源和规划局政府购买服务公开招聘工作人员岗位表</w:t>
      </w:r>
    </w:p>
    <w:tbl>
      <w:tblPr>
        <w:tblW w:w="88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04"/>
        <w:gridCol w:w="1560"/>
        <w:gridCol w:w="992"/>
        <w:gridCol w:w="1134"/>
        <w:gridCol w:w="1134"/>
        <w:gridCol w:w="1417"/>
        <w:gridCol w:w="1205"/>
      </w:tblGrid>
      <w:tr w:rsidR="00051152" w:rsidTr="00E97BF8">
        <w:trPr>
          <w:trHeight w:val="737"/>
          <w:jc w:val="center"/>
        </w:trPr>
        <w:tc>
          <w:tcPr>
            <w:tcW w:w="3956" w:type="dxa"/>
            <w:gridSpan w:val="3"/>
            <w:tcBorders>
              <w:top w:val="single" w:sz="8" w:space="0" w:color="auto"/>
            </w:tcBorders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hint="eastAsia"/>
              </w:rPr>
              <w:t>招聘</w:t>
            </w:r>
            <w:r>
              <w:rPr>
                <w:rFonts w:ascii="方正黑体_GBK" w:eastAsia="方正黑体_GBK" w:hAnsi="Times New Roman" w:cs="方正仿宋_GBK"/>
              </w:rPr>
              <w:br/>
            </w:r>
            <w:r>
              <w:rPr>
                <w:rFonts w:ascii="方正黑体_GBK" w:eastAsia="方正黑体_GBK" w:hAnsi="Times New Roman" w:cs="方正仿宋_GBK" w:hint="eastAsia"/>
              </w:rPr>
              <w:t>计划数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开考</w:t>
            </w:r>
          </w:p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比例</w:t>
            </w:r>
          </w:p>
        </w:tc>
        <w:tc>
          <w:tcPr>
            <w:tcW w:w="2622" w:type="dxa"/>
            <w:gridSpan w:val="2"/>
            <w:tcBorders>
              <w:top w:val="single" w:sz="8" w:space="0" w:color="auto"/>
            </w:tcBorders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招聘条件</w:t>
            </w:r>
          </w:p>
        </w:tc>
      </w:tr>
      <w:tr w:rsidR="00051152" w:rsidTr="00E97BF8">
        <w:trPr>
          <w:trHeight w:val="737"/>
          <w:jc w:val="center"/>
        </w:trPr>
        <w:tc>
          <w:tcPr>
            <w:tcW w:w="1404" w:type="dxa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岗位名称</w:t>
            </w:r>
          </w:p>
        </w:tc>
        <w:tc>
          <w:tcPr>
            <w:tcW w:w="1560" w:type="dxa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岗位类别</w:t>
            </w:r>
          </w:p>
        </w:tc>
        <w:tc>
          <w:tcPr>
            <w:tcW w:w="992" w:type="dxa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hint="eastAsia"/>
              </w:rPr>
              <w:t>岗位代码</w:t>
            </w:r>
          </w:p>
        </w:tc>
        <w:tc>
          <w:tcPr>
            <w:tcW w:w="1134" w:type="dxa"/>
            <w:vMerge/>
            <w:vAlign w:val="center"/>
          </w:tcPr>
          <w:p w:rsidR="00051152" w:rsidRDefault="00051152" w:rsidP="00E97BF8">
            <w:pPr>
              <w:spacing w:line="320" w:lineRule="exact"/>
              <w:rPr>
                <w:rFonts w:ascii="方正黑体_GBK" w:eastAsia="方正黑体_GBK" w:hAnsi="Times New Roman" w:cs="宋体"/>
              </w:rPr>
            </w:pPr>
          </w:p>
        </w:tc>
        <w:tc>
          <w:tcPr>
            <w:tcW w:w="1134" w:type="dxa"/>
            <w:vMerge/>
            <w:vAlign w:val="center"/>
          </w:tcPr>
          <w:p w:rsidR="00051152" w:rsidRDefault="00051152" w:rsidP="00E97BF8">
            <w:pPr>
              <w:spacing w:line="320" w:lineRule="exact"/>
              <w:rPr>
                <w:rFonts w:ascii="方正黑体_GBK" w:eastAsia="方正黑体_GBK" w:hAnsi="Times New Roman" w:cs="宋体"/>
              </w:rPr>
            </w:pPr>
          </w:p>
        </w:tc>
        <w:tc>
          <w:tcPr>
            <w:tcW w:w="1417" w:type="dxa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学历（学位）</w:t>
            </w:r>
          </w:p>
        </w:tc>
        <w:tc>
          <w:tcPr>
            <w:tcW w:w="1205" w:type="dxa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方正黑体_GBK" w:eastAsia="方正黑体_GBK" w:hAnsi="Times New Roman"/>
              </w:rPr>
            </w:pPr>
            <w:r>
              <w:rPr>
                <w:rFonts w:ascii="方正黑体_GBK" w:eastAsia="方正黑体_GBK" w:hAnsi="Times New Roman" w:cs="方正仿宋_GBK" w:hint="eastAsia"/>
              </w:rPr>
              <w:t>专</w:t>
            </w:r>
            <w:r>
              <w:rPr>
                <w:rFonts w:ascii="方正黑体_GBK" w:eastAsia="方正黑体_GBK" w:hAnsi="Times New Roman" w:cs="方正仿宋_GBK"/>
              </w:rPr>
              <w:t xml:space="preserve">  </w:t>
            </w:r>
            <w:r>
              <w:rPr>
                <w:rFonts w:ascii="方正黑体_GBK" w:eastAsia="方正黑体_GBK" w:hAnsi="Times New Roman" w:cs="方正仿宋_GBK" w:hint="eastAsia"/>
              </w:rPr>
              <w:t>业</w:t>
            </w:r>
          </w:p>
        </w:tc>
      </w:tr>
      <w:tr w:rsidR="00051152" w:rsidTr="00E97BF8">
        <w:trPr>
          <w:trHeight w:val="737"/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机关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辅助工作人员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152" w:rsidRPr="00D46EDB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 w:rsidRPr="00D46EDB">
              <w:rPr>
                <w:rFonts w:ascii="Times New Roman" w:hAnsi="Times New Roman"/>
                <w:color w:val="000000" w:themeColor="text1"/>
              </w:rPr>
              <w:t>大专及以上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不限</w:t>
            </w:r>
          </w:p>
        </w:tc>
      </w:tr>
      <w:tr w:rsidR="00051152" w:rsidTr="00E97BF8">
        <w:trPr>
          <w:trHeight w:val="737"/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 w:rsidRPr="00DC5266">
              <w:rPr>
                <w:rFonts w:ascii="仿宋_GB2312" w:eastAsia="仿宋_GB2312" w:hAnsi="楷体" w:hint="eastAsia"/>
                <w:color w:val="000000"/>
                <w:sz w:val="24"/>
                <w:szCs w:val="24"/>
              </w:rPr>
              <w:t>益林分局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/>
              </w:rPr>
              <w:t>辅助工作人员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cs="方正仿宋_GBK" w:hint="eastAsia"/>
              </w:rPr>
              <w:t>A02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cs="方正仿宋_GBK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152" w:rsidRPr="00D46EDB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 w:rsidRPr="00D46EDB">
              <w:rPr>
                <w:rFonts w:ascii="Times New Roman" w:hAnsi="Times New Roman"/>
                <w:color w:val="000000" w:themeColor="text1"/>
              </w:rPr>
              <w:t>大专及以上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不限</w:t>
            </w:r>
          </w:p>
        </w:tc>
      </w:tr>
      <w:tr w:rsidR="00051152" w:rsidTr="00E97BF8">
        <w:trPr>
          <w:trHeight w:val="737"/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051152" w:rsidRPr="00DC5266" w:rsidRDefault="00051152" w:rsidP="00E97BF8">
            <w:pPr>
              <w:spacing w:line="320" w:lineRule="exact"/>
              <w:jc w:val="center"/>
              <w:textAlignment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  <w:r w:rsidRPr="00DC5266">
              <w:rPr>
                <w:rFonts w:ascii="仿宋_GB2312" w:eastAsia="仿宋_GB2312" w:hAnsi="楷体"/>
                <w:color w:val="000000"/>
                <w:sz w:val="24"/>
                <w:szCs w:val="24"/>
              </w:rPr>
              <w:t>澳洋分局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152" w:rsidRDefault="00051152" w:rsidP="00E97BF8">
            <w:pPr>
              <w:jc w:val="center"/>
            </w:pPr>
            <w:r w:rsidRPr="0088708B">
              <w:rPr>
                <w:rFonts w:ascii="Times New Roman" w:hAnsi="Times New Roman"/>
              </w:rPr>
              <w:t>辅助工作人员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cs="方正仿宋_GBK" w:hint="eastAsia"/>
              </w:rPr>
              <w:t>A03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52" w:rsidRDefault="00051152" w:rsidP="00E97BF8">
            <w:pPr>
              <w:jc w:val="center"/>
            </w:pPr>
            <w:r w:rsidRPr="001A2DEC">
              <w:rPr>
                <w:rFonts w:ascii="Times New Roman" w:hAnsi="Times New Roman" w:cs="方正仿宋_GBK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152" w:rsidRPr="00D46EDB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 w:rsidRPr="00D46EDB">
              <w:rPr>
                <w:rFonts w:ascii="Times New Roman" w:hAnsi="Times New Roman"/>
                <w:color w:val="000000" w:themeColor="text1"/>
              </w:rPr>
              <w:t>大专及以上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不限</w:t>
            </w:r>
          </w:p>
        </w:tc>
      </w:tr>
      <w:tr w:rsidR="00051152" w:rsidTr="00E97BF8">
        <w:trPr>
          <w:trHeight w:val="737"/>
          <w:jc w:val="center"/>
        </w:trPr>
        <w:tc>
          <w:tcPr>
            <w:tcW w:w="1404" w:type="dxa"/>
            <w:shd w:val="clear" w:color="auto" w:fill="auto"/>
            <w:vAlign w:val="center"/>
          </w:tcPr>
          <w:p w:rsidR="00051152" w:rsidRPr="00DC5266" w:rsidRDefault="00051152" w:rsidP="00E97BF8">
            <w:pPr>
              <w:spacing w:line="320" w:lineRule="exact"/>
              <w:jc w:val="center"/>
              <w:textAlignment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  <w:r w:rsidRPr="00DC5266">
              <w:rPr>
                <w:rFonts w:ascii="仿宋_GB2312" w:eastAsia="仿宋_GB2312" w:hAnsi="楷体"/>
                <w:color w:val="000000"/>
                <w:sz w:val="24"/>
                <w:szCs w:val="24"/>
              </w:rPr>
              <w:t>羊寨分局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51152" w:rsidRDefault="00051152" w:rsidP="00E97BF8">
            <w:pPr>
              <w:jc w:val="center"/>
            </w:pPr>
            <w:r w:rsidRPr="0088708B">
              <w:rPr>
                <w:rFonts w:ascii="Times New Roman" w:hAnsi="Times New Roman"/>
              </w:rPr>
              <w:t>辅助工作人员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cs="方正仿宋_GBK" w:hint="eastAsia"/>
              </w:rPr>
              <w:t>A04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52" w:rsidRDefault="00051152" w:rsidP="00E97BF8">
            <w:pPr>
              <w:jc w:val="center"/>
            </w:pPr>
            <w:r w:rsidRPr="001A2DEC">
              <w:rPr>
                <w:rFonts w:ascii="Times New Roman" w:hAnsi="Times New Roman" w:cs="方正仿宋_GBK" w:hint="eastAsia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1152" w:rsidRPr="00D46EDB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 w:rsidRPr="00D46EDB">
              <w:rPr>
                <w:rFonts w:ascii="Times New Roman" w:hAnsi="Times New Roman"/>
                <w:color w:val="000000" w:themeColor="text1"/>
              </w:rPr>
              <w:t>大专及以上</w:t>
            </w:r>
          </w:p>
        </w:tc>
        <w:tc>
          <w:tcPr>
            <w:tcW w:w="1205" w:type="dxa"/>
            <w:shd w:val="clear" w:color="auto" w:fill="FFFFFF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不限</w:t>
            </w:r>
          </w:p>
        </w:tc>
      </w:tr>
      <w:tr w:rsidR="00051152" w:rsidTr="00E97BF8">
        <w:trPr>
          <w:trHeight w:val="737"/>
          <w:jc w:val="center"/>
        </w:trPr>
        <w:tc>
          <w:tcPr>
            <w:tcW w:w="1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Pr="00DC5266" w:rsidRDefault="00051152" w:rsidP="00E97BF8">
            <w:pPr>
              <w:spacing w:line="560" w:lineRule="exact"/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  <w:r w:rsidRPr="00DC5266">
              <w:rPr>
                <w:rFonts w:ascii="仿宋_GB2312" w:eastAsia="仿宋_GB2312" w:hAnsi="楷体"/>
                <w:color w:val="000000"/>
                <w:sz w:val="24"/>
                <w:szCs w:val="24"/>
              </w:rPr>
              <w:t>东沟分局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Default="00051152" w:rsidP="00E97BF8">
            <w:pPr>
              <w:jc w:val="center"/>
            </w:pPr>
            <w:r w:rsidRPr="0088708B">
              <w:rPr>
                <w:rFonts w:ascii="Times New Roman" w:hAnsi="Times New Roman"/>
              </w:rPr>
              <w:t>辅助工作人员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cs="方正仿宋_GBK" w:hint="eastAsia"/>
              </w:rPr>
              <w:t>A05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Default="00051152" w:rsidP="00E97BF8">
            <w:pPr>
              <w:jc w:val="center"/>
            </w:pPr>
            <w:r w:rsidRPr="001A2DEC">
              <w:rPr>
                <w:rFonts w:ascii="Times New Roman" w:hAnsi="Times New Roman" w:cs="方正仿宋_GBK" w:hint="eastAsia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Pr="00D46EDB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 w:rsidRPr="00D46EDB">
              <w:rPr>
                <w:rFonts w:ascii="Times New Roman" w:hAnsi="Times New Roman"/>
                <w:color w:val="000000" w:themeColor="text1"/>
              </w:rPr>
              <w:t>大专及以上</w:t>
            </w:r>
          </w:p>
        </w:tc>
        <w:tc>
          <w:tcPr>
            <w:tcW w:w="120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不限</w:t>
            </w:r>
          </w:p>
        </w:tc>
      </w:tr>
      <w:tr w:rsidR="00051152" w:rsidTr="00E97BF8">
        <w:trPr>
          <w:trHeight w:val="737"/>
          <w:jc w:val="center"/>
        </w:trPr>
        <w:tc>
          <w:tcPr>
            <w:tcW w:w="14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Pr="00DC5266" w:rsidRDefault="00051152" w:rsidP="00E97BF8">
            <w:pPr>
              <w:spacing w:line="560" w:lineRule="exact"/>
              <w:jc w:val="center"/>
              <w:rPr>
                <w:rFonts w:ascii="仿宋_GB2312" w:eastAsia="仿宋_GB2312" w:hAnsi="楷体"/>
                <w:color w:val="000000"/>
                <w:sz w:val="24"/>
                <w:szCs w:val="24"/>
              </w:rPr>
            </w:pPr>
            <w:r w:rsidRPr="00DC5266">
              <w:rPr>
                <w:rFonts w:ascii="仿宋_GB2312" w:eastAsia="仿宋_GB2312" w:hAnsi="楷体"/>
                <w:color w:val="000000"/>
                <w:sz w:val="24"/>
                <w:szCs w:val="24"/>
              </w:rPr>
              <w:t>阜城分局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Default="00051152" w:rsidP="00E97BF8">
            <w:pPr>
              <w:jc w:val="center"/>
            </w:pPr>
            <w:r w:rsidRPr="0088708B">
              <w:rPr>
                <w:rFonts w:ascii="Times New Roman" w:hAnsi="Times New Roman"/>
              </w:rPr>
              <w:t>辅助工作人员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cs="方正仿宋_GBK" w:hint="eastAsia"/>
              </w:rPr>
              <w:t>A06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Default="00051152" w:rsidP="00E97BF8">
            <w:pPr>
              <w:jc w:val="center"/>
            </w:pPr>
            <w:r w:rsidRPr="001A2DEC">
              <w:rPr>
                <w:rFonts w:ascii="Times New Roman" w:hAnsi="Times New Roman" w:cs="方正仿宋_GBK" w:hint="eastAsia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 w:cs="方正仿宋_GBK"/>
              </w:rPr>
            </w:pPr>
            <w:r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152" w:rsidRPr="00D46EDB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  <w:color w:val="000000" w:themeColor="text1"/>
              </w:rPr>
            </w:pPr>
            <w:r w:rsidRPr="00D46EDB">
              <w:rPr>
                <w:rFonts w:ascii="Times New Roman" w:hAnsi="Times New Roman"/>
                <w:color w:val="000000" w:themeColor="text1"/>
              </w:rPr>
              <w:t>大专及以上</w:t>
            </w:r>
          </w:p>
        </w:tc>
        <w:tc>
          <w:tcPr>
            <w:tcW w:w="1205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051152" w:rsidRDefault="00051152" w:rsidP="00E97BF8">
            <w:pPr>
              <w:spacing w:line="320" w:lineRule="exact"/>
              <w:jc w:val="center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不限</w:t>
            </w:r>
          </w:p>
        </w:tc>
      </w:tr>
    </w:tbl>
    <w:p w:rsidR="00051152" w:rsidRPr="00D46EDB" w:rsidRDefault="00051152" w:rsidP="00051152">
      <w:pPr>
        <w:pStyle w:val="1"/>
        <w:spacing w:line="560" w:lineRule="exact"/>
        <w:rPr>
          <w:spacing w:val="-20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04" w:rsidRDefault="00BD6E04" w:rsidP="00051152">
      <w:pPr>
        <w:spacing w:after="0"/>
      </w:pPr>
      <w:r>
        <w:separator/>
      </w:r>
    </w:p>
  </w:endnote>
  <w:endnote w:type="continuationSeparator" w:id="0">
    <w:p w:rsidR="00BD6E04" w:rsidRDefault="00BD6E04" w:rsidP="000511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04" w:rsidRDefault="00BD6E04" w:rsidP="00051152">
      <w:pPr>
        <w:spacing w:after="0"/>
      </w:pPr>
      <w:r>
        <w:separator/>
      </w:r>
    </w:p>
  </w:footnote>
  <w:footnote w:type="continuationSeparator" w:id="0">
    <w:p w:rsidR="00BD6E04" w:rsidRDefault="00BD6E04" w:rsidP="0005115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1152"/>
    <w:rsid w:val="00323B43"/>
    <w:rsid w:val="003D37D8"/>
    <w:rsid w:val="00426133"/>
    <w:rsid w:val="004358AB"/>
    <w:rsid w:val="00490D2C"/>
    <w:rsid w:val="008B7726"/>
    <w:rsid w:val="00BD6E0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qFormat/>
    <w:rsid w:val="00051152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15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15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1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152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05115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rsid w:val="0005115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2020-06-05T12:28:00Z</dcterms:modified>
</cp:coreProperties>
</file>