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招聘岗位、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人数、条件   </w:t>
      </w:r>
    </w:p>
    <w:tbl>
      <w:tblPr>
        <w:tblW w:w="6984" w:type="dxa"/>
        <w:tblInd w:w="36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008"/>
        <w:gridCol w:w="912"/>
        <w:gridCol w:w="540"/>
        <w:gridCol w:w="276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00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912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54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276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64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t>江西省人防0719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t>工程管理中心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人防指挥网络保障岗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网络工程（080903）专业;大学本科学历；年龄35周岁以下（1984年6月1日以后出生）；3年及以上工作经历；中共党员。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64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江西省人防工程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维护管理中心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工程管理岗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工程管理（120103）、工商管理（1202）、物流管理与工程（1206）专业；大学本科学历；年龄35周岁以下（1984年6月1日以后出生）；3年及以上工作经历；中共党员。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t>江西省人防工程标准定额质量监督站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文秘岗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中文（0501）、新闻（0503）、管理学（12）、马克思主义理论（0305）专业；大学本科学历；年龄25周岁以下（1994年6月1日以后出生）；限应届毕业生报考。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4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t>江西省人防指挥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  <w:shd w:val="clear" w:fill="FFFFFF"/>
              </w:rPr>
              <w:t>信息保障中心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文秘岗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中文（0501）、新闻（0503）、管理学（12）、马克思主义理论（0305）专业；研究生学历、硕士学位；年龄25周岁以下（1994年6月1日以后出生）；限应届毕业生报考。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5E746E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24F1A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403C"/>
    <w:rsid w:val="00D47B6B"/>
    <w:rsid w:val="00DA352A"/>
    <w:rsid w:val="00DA54EE"/>
    <w:rsid w:val="00E07F4E"/>
    <w:rsid w:val="00E67D77"/>
    <w:rsid w:val="00EB1378"/>
    <w:rsid w:val="00F12991"/>
    <w:rsid w:val="1A327888"/>
    <w:rsid w:val="206B2597"/>
    <w:rsid w:val="274C4719"/>
    <w:rsid w:val="2A8327B9"/>
    <w:rsid w:val="2B5911DF"/>
    <w:rsid w:val="399E013D"/>
    <w:rsid w:val="503E72F5"/>
    <w:rsid w:val="6AFC75D8"/>
    <w:rsid w:val="6BC5691E"/>
    <w:rsid w:val="6CDB6C18"/>
    <w:rsid w:val="775E7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slidedonw"/>
    <w:basedOn w:val="7"/>
    <w:qFormat/>
    <w:uiPriority w:val="0"/>
    <w:rPr>
      <w:vanish/>
    </w:rPr>
  </w:style>
  <w:style w:type="character" w:customStyle="1" w:styleId="15">
    <w:name w:val="nav_news_zwgk_zzjgicon"/>
    <w:basedOn w:val="7"/>
    <w:qFormat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6">
    <w:name w:val="current"/>
    <w:basedOn w:val="7"/>
    <w:qFormat/>
    <w:uiPriority w:val="0"/>
    <w:rPr>
      <w:color w:val="FFFFFF"/>
      <w:shd w:val="clear" w:fill="409EFF"/>
    </w:rPr>
  </w:style>
  <w:style w:type="character" w:customStyle="1" w:styleId="17">
    <w:name w:val="before"/>
    <w:basedOn w:val="7"/>
    <w:qFormat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18">
    <w:name w:val="hover34"/>
    <w:basedOn w:val="7"/>
    <w:qFormat/>
    <w:uiPriority w:val="0"/>
    <w:rPr>
      <w:color w:val="66B1FF"/>
    </w:rPr>
  </w:style>
  <w:style w:type="character" w:customStyle="1" w:styleId="19">
    <w:name w:val="after"/>
    <w:basedOn w:val="7"/>
    <w:qFormat/>
    <w:uiPriority w:val="0"/>
  </w:style>
  <w:style w:type="character" w:customStyle="1" w:styleId="20">
    <w:name w:val="after1"/>
    <w:basedOn w:val="7"/>
    <w:qFormat/>
    <w:uiPriority w:val="0"/>
  </w:style>
  <w:style w:type="character" w:customStyle="1" w:styleId="21">
    <w:name w:val="on"/>
    <w:basedOn w:val="7"/>
    <w:qFormat/>
    <w:uiPriority w:val="0"/>
  </w:style>
  <w:style w:type="character" w:customStyle="1" w:styleId="22">
    <w:name w:val="hover30"/>
    <w:basedOn w:val="7"/>
    <w:qFormat/>
    <w:uiPriority w:val="0"/>
    <w:rPr>
      <w:color w:val="66B1FF"/>
    </w:rPr>
  </w:style>
  <w:style w:type="character" w:customStyle="1" w:styleId="23">
    <w:name w:val="before1"/>
    <w:basedOn w:val="7"/>
    <w:qFormat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24">
    <w:name w:val="hover"/>
    <w:basedOn w:val="7"/>
    <w:uiPriority w:val="0"/>
    <w:rPr>
      <w:color w:val="66B1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584</Characters>
  <Lines>4</Lines>
  <Paragraphs>1</Paragraphs>
  <TotalTime>12</TotalTime>
  <ScaleCrop>false</ScaleCrop>
  <LinksUpToDate>false</LinksUpToDate>
  <CharactersWithSpaces>685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2020-06-04T14:35:00Z</cp:lastPrinted>
  <dcterms:modified xsi:type="dcterms:W3CDTF">2020-06-23T02:14:43Z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