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微软雅黑" w:eastAsia="仿宋_GB2312"/>
          <w:sz w:val="32"/>
          <w:szCs w:val="32"/>
          <w:shd w:val="clear" w:color="auto" w:fill="FFFFFF"/>
        </w:rPr>
      </w:pPr>
      <w:r>
        <w:rPr>
          <w:rFonts w:hint="eastAsia" w:ascii="微软雅黑" w:hAnsi="微软雅黑"/>
          <w:sz w:val="32"/>
          <w:szCs w:val="32"/>
          <w:shd w:val="clear" w:color="auto" w:fill="FFFFFF"/>
        </w:rPr>
        <w:t>附件3</w:t>
      </w:r>
    </w:p>
    <w:p>
      <w:pPr>
        <w:spacing w:line="640" w:lineRule="exact"/>
        <w:jc w:val="center"/>
        <w:rPr>
          <w:rFonts w:ascii="方正小标宋简体" w:hAnsi="微软雅黑" w:eastAsia="方正小标宋简体"/>
          <w:sz w:val="40"/>
          <w:szCs w:val="36"/>
          <w:shd w:val="clear" w:color="auto" w:fill="FFFFFF"/>
        </w:rPr>
      </w:pPr>
      <w:r>
        <w:rPr>
          <w:rFonts w:hint="eastAsia" w:ascii="方正小标宋简体" w:hAnsi="微软雅黑" w:eastAsia="方正小标宋简体"/>
          <w:sz w:val="40"/>
          <w:szCs w:val="36"/>
          <w:shd w:val="clear" w:color="auto" w:fill="FFFFFF"/>
        </w:rPr>
        <w:t>南沙新区产业园区开发建设管理局</w:t>
      </w:r>
      <w:r>
        <w:rPr>
          <w:rFonts w:hint="eastAsia" w:ascii="方正小标宋简体" w:hAnsi="微软雅黑" w:eastAsia="方正小标宋简体"/>
          <w:sz w:val="40"/>
          <w:szCs w:val="36"/>
          <w:shd w:val="clear" w:color="auto" w:fill="FFFFFF"/>
          <w:lang w:val="en-US" w:eastAsia="zh-CN"/>
        </w:rPr>
        <w:t>2020年</w:t>
      </w:r>
      <w:r>
        <w:rPr>
          <w:rFonts w:hint="eastAsia" w:ascii="方正小标宋简体" w:hAnsi="微软雅黑" w:eastAsia="方正小标宋简体"/>
          <w:sz w:val="40"/>
          <w:szCs w:val="36"/>
          <w:shd w:val="clear" w:color="auto" w:fill="FFFFFF"/>
        </w:rPr>
        <w:t>公开招聘授薪人员重点院校名单</w:t>
      </w:r>
    </w:p>
    <w:p>
      <w:pPr>
        <w:widowControl w:val="0"/>
        <w:adjustRightInd/>
        <w:snapToGrid/>
        <w:spacing w:line="640" w:lineRule="exact"/>
        <w:jc w:val="both"/>
        <w:rPr>
          <w:rFonts w:ascii="黑体" w:hAnsi="黑体" w:eastAsia="黑体" w:cs="黑体"/>
          <w:sz w:val="32"/>
          <w:szCs w:val="32"/>
        </w:rPr>
      </w:pPr>
      <w:r>
        <w:rPr>
          <w:rFonts w:hint="eastAsia" w:ascii="黑体" w:hAnsi="黑体" w:eastAsia="黑体" w:cs="黑体"/>
          <w:sz w:val="32"/>
          <w:szCs w:val="32"/>
          <w:shd w:val="clear" w:color="auto" w:fill="FFFFFF"/>
        </w:rPr>
        <w:t>一、国</w:t>
      </w:r>
      <w:r>
        <w:rPr>
          <w:rFonts w:hint="eastAsia" w:ascii="黑体" w:hAnsi="黑体" w:eastAsia="黑体" w:cs="黑体"/>
          <w:sz w:val="32"/>
          <w:szCs w:val="32"/>
        </w:rPr>
        <w:t>内重点高校</w:t>
      </w:r>
    </w:p>
    <w:p>
      <w:pPr>
        <w:spacing w:line="560" w:lineRule="exact"/>
        <w:rPr>
          <w:rFonts w:ascii="黑体" w:hAnsi="黑体" w:eastAsia="仿宋_GB2312" w:cs="黑体"/>
          <w:sz w:val="30"/>
          <w:szCs w:val="30"/>
        </w:rPr>
      </w:pPr>
      <w:r>
        <w:rPr>
          <w:rFonts w:hint="eastAsia" w:ascii="仿宋_GB2312" w:hAnsi="仿宋_GB2312" w:eastAsia="仿宋_GB2312" w:cs="仿宋_GB2312"/>
          <w:sz w:val="30"/>
          <w:szCs w:val="30"/>
        </w:rPr>
        <w:t>北京大学、中国人民大学、清华大学、北京航空大学、北京理工大学、中央民族大学、南开大学、天津大学、中国农业大学、北京师范大学、大连理工大学、同济大学、吉林大学、哈尔滨工业大学、复旦大学、上海交通大学、华东师范大学、南京大学、东南大学、浙江大学、山东大学、中国科学技术大学、厦门大学、武汉大学、华中科技大学、中南大学、中国海洋大学、中山大学、华南理工大学、四川大学、电子科技大学、西安交通大学、西北工业大学、兰州大学、重庆大学、国防科技大学、东北大学、郑州大学、云南大学、西北农林科技大学、湖南大学、新疆大学、北京交通大学、北京工业大学、北京科技大学、北京化工大学、北京邮电大学、北京协和医学院、北京中医药大学、首都师范大学、北京外国语大学、北京林业大学、外交学院、中国人民公安大学、对外经济贸易大学、中央财经大学、中国传媒大学、北京体育大学、中央音乐学院、中央美术学院、中央戏剧学院、天津工业大学、河北工业大学、天津医科大学、中国政法大学、天津中医药大学、华北电力大学、太原理工大学、内蒙古大学、辽宁大学、天津海事大学、延边大学、中国药科大学、南京林业大学、南京农业大学、哈尔滨工程大学、东北师范大学、南京中医药大学、河海大学、南京信息工程大学、中国矿业大学、上海财经大学、南京邮电大学、苏州大学、南京理工大学、江南大学、上海外国语大学、南京航空航天大学、上海大学、上海音乐学院、上海海洋大学、上海中医药大学、上海体育学院、华东理工大学、东北林业大学、东华大学、东北农业大学、南京师范大学、中国美术学院、安徽大学、合肥工业大学、福州大学、中国地质大学、武汉理工大学、华中农业大学、河南大学、南昌大学、广州中医药大学、华南师范大学、海南大学、湖南师范大学、中南财经政法大学、成都理工大学、西南石油大学、广西大学、暨南大学、西南交通大学、成都中医药大学、西南大学、西南财经大学、第二军医大学、第四军医大学、宁波大学、中国石油大学、中国科学院大学、四川农业大学、宁夏大学、石河子大学、长安大学、西安电子科技大学、青海大学、陕西师范大学、贵州大学、西藏大学、西北大学、</w:t>
      </w:r>
      <w:r>
        <w:fldChar w:fldCharType="begin"/>
      </w:r>
      <w:r>
        <w:instrText xml:space="preserve"> HYPERLINK "https://baike.baidu.com/item/%E5%8D%97%E6%96%B9%E5%8C%BB%E7%A7%91%E5%A4%A7%E5%AD%A6" \t "_blank" </w:instrText>
      </w:r>
      <w:r>
        <w:fldChar w:fldCharType="separate"/>
      </w:r>
      <w:r>
        <w:rPr>
          <w:rFonts w:hint="eastAsia" w:ascii="仿宋_GB2312" w:hAnsi="仿宋_GB2312" w:eastAsia="仿宋_GB2312" w:cs="仿宋_GB2312"/>
          <w:sz w:val="30"/>
          <w:szCs w:val="30"/>
        </w:rPr>
        <w:t>南方医科大学</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w:t>
      </w:r>
      <w:r>
        <w:fldChar w:fldCharType="begin"/>
      </w:r>
      <w:r>
        <w:instrText xml:space="preserve"> HYPERLINK "https://baike.baidu.com/item/%E5%B9%BF%E4%B8%9C%E5%B7%A5%E4%B8%9A%E5%A4%A7%E5%AD%A6" \t "_blank" </w:instrText>
      </w:r>
      <w:r>
        <w:fldChar w:fldCharType="separate"/>
      </w:r>
      <w:r>
        <w:rPr>
          <w:rFonts w:hint="eastAsia" w:ascii="仿宋_GB2312" w:hAnsi="仿宋_GB2312" w:eastAsia="仿宋_GB2312" w:cs="仿宋_GB2312"/>
          <w:sz w:val="30"/>
          <w:szCs w:val="30"/>
        </w:rPr>
        <w:t>广东工业大学</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w:t>
      </w:r>
      <w:r>
        <w:fldChar w:fldCharType="begin"/>
      </w:r>
      <w:r>
        <w:instrText xml:space="preserve"> HYPERLINK "https://baike.baidu.com/item/%E5%8D%8E%E5%8D%97%E5%86%9C%E4%B8%9A%E5%A4%A7%E5%AD%A6" \t "_blank" </w:instrText>
      </w:r>
      <w:r>
        <w:fldChar w:fldCharType="separate"/>
      </w:r>
      <w:r>
        <w:rPr>
          <w:rFonts w:hint="eastAsia" w:ascii="仿宋_GB2312" w:hAnsi="仿宋_GB2312" w:eastAsia="仿宋_GB2312" w:cs="仿宋_GB2312"/>
          <w:sz w:val="30"/>
          <w:szCs w:val="30"/>
        </w:rPr>
        <w:t>华南农业大学</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、广东外语外贸大学、广州中医药大学、汕头大学。</w:t>
      </w:r>
    </w:p>
    <w:p>
      <w:pPr>
        <w:widowControl w:val="0"/>
        <w:adjustRightInd/>
        <w:snapToGrid/>
        <w:spacing w:line="640" w:lineRule="exact"/>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二、国（境）外部分知名院校</w:t>
      </w:r>
    </w:p>
    <w:p>
      <w:pPr>
        <w:pStyle w:val="4"/>
        <w:spacing w:line="450" w:lineRule="atLeast"/>
        <w:ind w:firstLine="600"/>
        <w:jc w:val="both"/>
        <w:rPr>
          <w:rFonts w:ascii="Times New Roman" w:hAnsi="Times New Roman" w:eastAsia="仿宋_GB2312"/>
          <w:sz w:val="30"/>
          <w:szCs w:val="30"/>
        </w:rPr>
      </w:pPr>
      <w:r>
        <w:rPr>
          <w:rFonts w:hint="eastAsia" w:ascii="仿宋_GB2312" w:hAnsi="仿宋_GB2312" w:eastAsia="仿宋_GB2312" w:cs="仿宋_GB2312"/>
          <w:sz w:val="30"/>
          <w:szCs w:val="30"/>
        </w:rPr>
        <w:t>香港科技大学、香港大学、香港城市大学、香港中文大学、香港理工大学、澳门大学、台湾大学、台湾清华大学</w:t>
      </w:r>
      <w:bookmarkStart w:id="0" w:name="ref_[4]_22774171" w:colFirst="0" w:colLast="0"/>
      <w:r>
        <w:rPr>
          <w:rFonts w:hint="eastAsia" w:ascii="仿宋_GB2312" w:hAnsi="仿宋_GB2312" w:eastAsia="仿宋_GB2312" w:cs="仿宋_GB2312"/>
          <w:sz w:val="30"/>
          <w:szCs w:val="30"/>
        </w:rPr>
        <w:t>、</w:t>
      </w:r>
      <w:r>
        <w:rPr>
          <w:rFonts w:ascii="仿宋_GB2312" w:hAnsi="仿宋_GB2312" w:eastAsia="仿宋_GB2312" w:cs="仿宋_GB2312"/>
          <w:sz w:val="30"/>
          <w:szCs w:val="30"/>
        </w:rPr>
        <w:t>哈佛大学</w:t>
      </w:r>
      <w:r>
        <w:rPr>
          <w:rFonts w:ascii="Times New Roman" w:hAnsi="Times New Roman" w:eastAsia="仿宋_GB2312"/>
          <w:bCs/>
          <w:sz w:val="30"/>
          <w:szCs w:val="30"/>
        </w:rPr>
        <w:t xml:space="preserve"> (Harvard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w:t>
      </w:r>
      <w:r>
        <w:rPr>
          <w:rFonts w:hint="eastAsia" w:ascii="Times New Roman" w:hAnsi="Times New Roman" w:eastAsia="仿宋_GB2312"/>
          <w:bCs/>
          <w:sz w:val="30"/>
          <w:szCs w:val="30"/>
        </w:rPr>
        <w:t xml:space="preserve"> </w:t>
      </w:r>
      <w:r>
        <w:rPr>
          <w:rFonts w:ascii="Times New Roman" w:hAnsi="Times New Roman" w:eastAsia="仿宋_GB2312"/>
          <w:bCs/>
          <w:sz w:val="30"/>
          <w:szCs w:val="30"/>
        </w:rPr>
        <w:t>Arbor)、西北大学(Northwestern University)、密歇根大学(University of Michigan)、卡内基梅隆大学(Carnegie Mellon University)、</w:t>
      </w:r>
      <w:r>
        <w:fldChar w:fldCharType="begin"/>
      </w:r>
      <w:r>
        <w:instrText xml:space="preserve"> HYPERLINK "http://www.qianmu.org/%E4%BD%90%E6%B2%BB%E4%BA%9A%E7%90%86%E5%B7%A5%E5%AD%A6%E9%99%A2" </w:instrText>
      </w:r>
      <w:r>
        <w:fldChar w:fldCharType="separate"/>
      </w:r>
      <w:r>
        <w:rPr>
          <w:rFonts w:ascii="Times New Roman" w:hAnsi="Times New Roman" w:eastAsia="仿宋_GB2312"/>
          <w:sz w:val="30"/>
          <w:szCs w:val="30"/>
        </w:rPr>
        <w:t>佐治亚理工学院</w:t>
      </w:r>
      <w:r>
        <w:rPr>
          <w:rFonts w:ascii="Times New Roman" w:hAnsi="Times New Roman" w:eastAsia="仿宋_GB2312"/>
          <w:sz w:val="30"/>
          <w:szCs w:val="30"/>
        </w:rPr>
        <w:fldChar w:fldCharType="end"/>
      </w:r>
      <w:r>
        <w:rPr>
          <w:rFonts w:ascii="Times New Roman" w:hAnsi="Times New Roman" w:eastAsia="仿宋_GB2312"/>
          <w:bCs/>
          <w:sz w:val="30"/>
          <w:szCs w:val="30"/>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London)、爱丁堡大学(The University of Edinburgh)、伦敦国王学院(King's College London)、伦敦政治经济学院(The</w:t>
      </w:r>
      <w:r>
        <w:rPr>
          <w:rFonts w:hint="eastAsia" w:ascii="Times New Roman" w:hAnsi="Times New Roman" w:eastAsia="仿宋_GB2312"/>
          <w:bCs/>
          <w:sz w:val="30"/>
          <w:szCs w:val="30"/>
        </w:rPr>
        <w:t xml:space="preserve"> </w:t>
      </w:r>
      <w:r>
        <w:rPr>
          <w:rFonts w:ascii="Times New Roman" w:hAnsi="Times New Roman" w:eastAsia="仿宋_GB2312"/>
          <w:bCs/>
          <w:sz w:val="30"/>
          <w:szCs w:val="30"/>
        </w:rPr>
        <w:t>London School of Economics and Political Science)、曼彻斯特大学(University of Manchester)、布里斯托大学(University of Bristol)、慕尼黑大学(Ludwig-Maximilians-Universität München)、海德堡大学(Ruprecht-Karls-Universität Heidelberg)、慕尼黑工业大学(Technische Universität München)、苏黎世联邦理工学院(Eidgenössische Technische Hochschule Zürich ETHZ)、洛桑联邦理工学院(Ecole polytechnique fédérale de Lausanne EPFL)、苏黎世大学(Universität Zürich)、卡罗琳学院(Karolinska Institute)、澳大利亚国立大学(The Australian National University)、悉尼大学(The University of Sydney)、墨尔本大学(The University of Melbourne)、新南威尔士大学(The University of New South Wales)、昆士兰大学(The University of Queensland)、多伦多大学(University of Toronto)、麦吉尔大学(McGill University)、英属哥伦比亚大学(University of British Columbia)、巴黎高等师范学院(Ecole Normale Supérieure de Paris)、哥本哈根大学(University of Copenhagen)、莫斯科国立大学(Московский государственный университет)、新加坡国立大学(National University of Singapore)、南洋理工大学(Nanyang Technological University)</w:t>
      </w:r>
      <w:r>
        <w:rPr>
          <w:rFonts w:hint="eastAsia" w:ascii="Times New Roman" w:hAnsi="Times New Roman" w:eastAsia="仿宋_GB2312"/>
          <w:bCs/>
          <w:sz w:val="30"/>
          <w:szCs w:val="30"/>
        </w:rPr>
        <w:t>。</w:t>
      </w:r>
    </w:p>
    <w:p>
      <w:pPr>
        <w:widowControl w:val="0"/>
        <w:adjustRightInd/>
        <w:snapToGrid/>
        <w:spacing w:line="640" w:lineRule="exact"/>
        <w:jc w:val="both"/>
        <w:rPr>
          <w:rFonts w:hint="eastAsia" w:ascii="仿宋_GB2312" w:hAnsi="仿宋_GB2312" w:eastAsia="仿宋_GB2312" w:cs="仿宋_GB2312"/>
          <w:b/>
          <w:sz w:val="32"/>
          <w:szCs w:val="32"/>
        </w:rPr>
      </w:pPr>
    </w:p>
    <w:p>
      <w:pPr>
        <w:widowControl w:val="0"/>
        <w:adjustRightInd/>
        <w:snapToGrid/>
        <w:spacing w:line="640" w:lineRule="exact"/>
        <w:jc w:val="both"/>
        <w:rPr>
          <w:rFonts w:ascii="黑体" w:hAnsi="黑体" w:eastAsia="黑体" w:cs="黑体"/>
          <w:sz w:val="32"/>
          <w:szCs w:val="32"/>
          <w:shd w:val="clear" w:color="auto" w:fill="FFFFFF"/>
        </w:rPr>
      </w:pPr>
      <w:r>
        <w:rPr>
          <w:rFonts w:hint="eastAsia" w:ascii="仿宋_GB2312" w:hAnsi="仿宋_GB2312" w:eastAsia="仿宋_GB2312" w:cs="仿宋_GB2312"/>
          <w:b/>
          <w:sz w:val="32"/>
          <w:szCs w:val="32"/>
        </w:rPr>
        <w:t>备注：</w:t>
      </w:r>
      <w:r>
        <w:rPr>
          <w:rFonts w:hint="eastAsia" w:ascii="仿宋_GB2312" w:hAnsi="仿宋_GB2312" w:eastAsia="仿宋_GB2312" w:cs="仿宋_GB2312"/>
          <w:sz w:val="32"/>
          <w:szCs w:val="32"/>
        </w:rPr>
        <w:t>国（境）外知名院校范围参照近五年世界大学排名（包括QS、泰晤士高等教育、U.S.News、ARWU）前300名的院校）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以上国外知名院校仅列部分，请报名人员自行查阅毕业院校是否符合院校范围。</w:t>
      </w:r>
      <w:bookmarkStart w:id="1" w:name="_GoBack"/>
      <w:bookmarkEnd w:id="1"/>
    </w:p>
    <w:p>
      <w:pPr>
        <w:adjustRightInd/>
        <w:snapToGrid/>
        <w:spacing w:after="0" w:line="560" w:lineRule="exact"/>
        <w:rPr>
          <w:rFonts w:ascii="仿宋_GB2312" w:hAnsi="仿宋_GB2312" w:eastAsia="仿宋_GB2312" w:cs="仿宋_GB2312"/>
          <w:vanish/>
          <w:sz w:val="32"/>
          <w:szCs w:val="32"/>
        </w:rPr>
      </w:pPr>
    </w:p>
    <w:p>
      <w:pPr>
        <w:adjustRightInd/>
        <w:snapToGrid/>
        <w:spacing w:after="0" w:line="560" w:lineRule="exact"/>
        <w:rPr>
          <w:rFonts w:ascii="仿宋_GB2312" w:hAnsi="仿宋_GB2312" w:eastAsia="仿宋_GB2312" w:cs="仿宋_GB2312"/>
          <w:vanish/>
          <w:sz w:val="32"/>
          <w:szCs w:val="32"/>
        </w:rPr>
      </w:pPr>
    </w:p>
    <w:bookmarkEnd w:id="0"/>
    <w:p>
      <w:pPr>
        <w:spacing w:line="560" w:lineRule="exact"/>
        <w:rPr>
          <w:rFonts w:ascii="仿宋_GB2312" w:hAnsi="仿宋_GB2312" w:eastAsia="仿宋_GB2312" w:cs="仿宋_GB2312"/>
          <w:sz w:val="32"/>
          <w:szCs w:val="32"/>
        </w:rPr>
      </w:pPr>
    </w:p>
    <w:p>
      <w:pPr>
        <w:spacing w:line="560" w:lineRule="exact"/>
        <w:ind w:firstLine="440" w:firstLineChars="200"/>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B3947"/>
    <w:rsid w:val="0012026A"/>
    <w:rsid w:val="00284BDE"/>
    <w:rsid w:val="00295CDB"/>
    <w:rsid w:val="002A3E5C"/>
    <w:rsid w:val="00323B43"/>
    <w:rsid w:val="003D37D8"/>
    <w:rsid w:val="00426133"/>
    <w:rsid w:val="004358AB"/>
    <w:rsid w:val="004A1922"/>
    <w:rsid w:val="004D37FE"/>
    <w:rsid w:val="00621282"/>
    <w:rsid w:val="006464AF"/>
    <w:rsid w:val="006A1952"/>
    <w:rsid w:val="006D1446"/>
    <w:rsid w:val="007243F2"/>
    <w:rsid w:val="00744127"/>
    <w:rsid w:val="0077684C"/>
    <w:rsid w:val="008B7726"/>
    <w:rsid w:val="00983FAE"/>
    <w:rsid w:val="009A0EC7"/>
    <w:rsid w:val="00B66834"/>
    <w:rsid w:val="00B90C80"/>
    <w:rsid w:val="00BE5030"/>
    <w:rsid w:val="00C1153B"/>
    <w:rsid w:val="00C45CBB"/>
    <w:rsid w:val="00C52EBF"/>
    <w:rsid w:val="00D2289A"/>
    <w:rsid w:val="00D31D50"/>
    <w:rsid w:val="00D41036"/>
    <w:rsid w:val="00D745BC"/>
    <w:rsid w:val="00DD1CAB"/>
    <w:rsid w:val="00E023C0"/>
    <w:rsid w:val="00EC650A"/>
    <w:rsid w:val="00ED0551"/>
    <w:rsid w:val="00F447A7"/>
    <w:rsid w:val="00F560B5"/>
    <w:rsid w:val="00F924BB"/>
    <w:rsid w:val="00FA14A7"/>
    <w:rsid w:val="01260001"/>
    <w:rsid w:val="433E298D"/>
    <w:rsid w:val="7EF7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after="0"/>
    </w:pPr>
    <w:rPr>
      <w:rFonts w:ascii="Calibri" w:hAnsi="Calibri" w:eastAsia="宋体" w:cs="Times New Roman"/>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uiPriority w:val="99"/>
    <w:rPr>
      <w:rFonts w:ascii="Tahoma" w:hAnsi="Tahoma"/>
      <w:sz w:val="18"/>
      <w:szCs w:val="18"/>
    </w:rPr>
  </w:style>
  <w:style w:type="character" w:customStyle="1" w:styleId="10">
    <w:name w:val="bjh-p"/>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531</Words>
  <Characters>3027</Characters>
  <Lines>25</Lines>
  <Paragraphs>7</Paragraphs>
  <TotalTime>123</TotalTime>
  <ScaleCrop>false</ScaleCrop>
  <LinksUpToDate>false</LinksUpToDate>
  <CharactersWithSpaces>3551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以太古</cp:lastModifiedBy>
  <cp:lastPrinted>2020-04-14T08:00:00Z</cp:lastPrinted>
  <dcterms:modified xsi:type="dcterms:W3CDTF">2020-05-19T09:07:16Z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