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ascii="Arial" w:hAnsi="Arial" w:eastAsia="Arial" w:cs="Arial"/>
          <w:i w:val="0"/>
          <w:caps w:val="0"/>
          <w:color w:val="464646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464646"/>
          <w:spacing w:val="0"/>
          <w:sz w:val="21"/>
          <w:szCs w:val="21"/>
          <w:bdr w:val="none" w:color="auto" w:sz="0" w:space="0"/>
          <w:shd w:val="clear" w:fill="FFFFFF"/>
        </w:rPr>
        <w:t>招聘岗位、专业及条件</w:t>
      </w:r>
    </w:p>
    <w:tbl>
      <w:tblPr>
        <w:tblW w:w="7725" w:type="dxa"/>
        <w:tblCellSpacing w:w="0" w:type="dxa"/>
        <w:tblInd w:w="2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70"/>
        <w:gridCol w:w="1005"/>
        <w:gridCol w:w="570"/>
        <w:gridCol w:w="780"/>
        <w:gridCol w:w="2115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岗位类别及等级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招聘范围（户籍）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学历学位及专业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tblCellSpacing w:w="0" w:type="dxa"/>
        </w:trPr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杭州市政协事业发展服务中心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文秘及信息工作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专业技术十二级及以下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全国</w:t>
            </w: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研究生学历，硕士及以上学位；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马克思主义哲学，中国哲学，人口、资源与环境经济学，产业经济学，中国近现代史基本问题研究，汉语言文字学，社会学（小类）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2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年龄在   30 周岁以下（ 1990年7 月 1日及以后出生）,要求两年以上工作经验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tblCellSpacing w:w="0" w:type="dxa"/>
        </w:trPr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杭州市政协文史馆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文史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研究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专业技术八级及以下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464646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全日制普通高校研究生学历，硕士及以上学位；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中国史类，中国古典文献学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2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1"/>
                <w:szCs w:val="21"/>
                <w:bdr w:val="none" w:color="auto" w:sz="0" w:space="0"/>
              </w:rPr>
              <w:t>年龄在 30 周岁以下（ 1990年7 月 1日及以后出生）, 要求全日制普通高校2020年毕业生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50459"/>
    <w:rsid w:val="056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2020-07-17T05:31:00Z</dcterms:created>
  <dc:creator>Administrator</dc:creator>
  <cp:lastModifiedBy>Administrator</cp:lastModifiedBy>
  <dcterms:modified xsi:type="dcterms:W3CDTF">2020-07-17T05:36:31Z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