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健康信息报告单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518"/>
        <w:gridCol w:w="1522"/>
        <w:gridCol w:w="1519"/>
        <w:gridCol w:w="1519"/>
        <w:gridCol w:w="1522"/>
        <w:gridCol w:w="1519"/>
        <w:gridCol w:w="1519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家庭地址</w:t>
            </w:r>
          </w:p>
        </w:tc>
        <w:tc>
          <w:tcPr>
            <w:tcW w:w="10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0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个人及家属是否前往北京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个人及家属是否从北京返回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个人及家属是否途径北京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个人及家属是否接触北京来粤人员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个人及家属是否出省（除北京）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个人及家属是否出国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出境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是否出现发烧、乏力、干咳等症状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  <w:tc>
          <w:tcPr>
            <w:tcW w:w="53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具体症状及处置措施</w:t>
            </w:r>
          </w:p>
        </w:tc>
        <w:tc>
          <w:tcPr>
            <w:tcW w:w="2684" w:type="pct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4" w:type="pct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其他需要说明的事项</w:t>
            </w:r>
          </w:p>
        </w:tc>
        <w:tc>
          <w:tcPr>
            <w:tcW w:w="4294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</w:t>
            </w:r>
            <w:r>
              <w:rPr>
                <w:rFonts w:hint="eastAsia"/>
                <w:vertAlign w:val="baseline"/>
                <w:lang w:val="en-US" w:eastAsia="zh-CN"/>
              </w:rPr>
              <w:t>1.统计往返时间从即日起前14天内起算；2.家属中统计居住在一起的；3.请在是或否栏打√。</w:t>
            </w:r>
          </w:p>
        </w:tc>
      </w:tr>
    </w:tbl>
    <w:p>
      <w:pPr>
        <w:spacing w:line="520" w:lineRule="exact"/>
        <w:rPr>
          <w:rFonts w:hint="default" w:ascii="仿宋_GB2312" w:hAnsi="仿宋_GB2312" w:eastAsia="仿宋_GB2312"/>
          <w:bCs/>
          <w:sz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377" w:right="1440" w:bottom="1126" w:left="1440" w:header="851" w:footer="992" w:gutter="0"/>
      <w:pgNumType w:fmt="numberInDash"/>
      <w:cols w:space="72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4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西西</cp:lastModifiedBy>
  <dcterms:modified xsi:type="dcterms:W3CDTF">2020-07-17T02:44:32Z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