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single" w:color="AC1E02" w:sz="12" w:space="6"/>
        </w:pBdr>
        <w:spacing w:before="126" w:beforeAutospacing="0" w:after="126" w:afterAutospacing="0" w:line="376" w:lineRule="atLeast"/>
        <w:ind w:left="0" w:right="0"/>
        <w:jc w:val="center"/>
      </w:pPr>
      <w:bookmarkStart w:id="0" w:name="_GoBack"/>
      <w:r>
        <w:rPr>
          <w:b/>
          <w:color w:val="AC1E02"/>
          <w:sz w:val="25"/>
          <w:szCs w:val="25"/>
        </w:rPr>
        <w:t>当代中国研究所</w:t>
      </w:r>
      <w:r>
        <w:rPr>
          <w:rStyle w:val="6"/>
          <w:rFonts w:hint="eastAsia" w:ascii="宋体" w:hAnsi="宋体" w:eastAsia="宋体" w:cs="宋体"/>
          <w:i w:val="0"/>
          <w:sz w:val="15"/>
          <w:szCs w:val="15"/>
        </w:rPr>
        <w:t>招聘岗位及要求</w:t>
      </w:r>
    </w:p>
    <w:bookmarkEnd w:id="0"/>
    <w:tbl>
      <w:tblPr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2"/>
        <w:gridCol w:w="701"/>
        <w:gridCol w:w="1891"/>
        <w:gridCol w:w="354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5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招聘岗位</w:t>
            </w:r>
          </w:p>
        </w:tc>
        <w:tc>
          <w:tcPr>
            <w:tcW w:w="70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招聘人数</w:t>
            </w:r>
          </w:p>
        </w:tc>
        <w:tc>
          <w:tcPr>
            <w:tcW w:w="189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招聘对象</w:t>
            </w:r>
          </w:p>
        </w:tc>
        <w:tc>
          <w:tcPr>
            <w:tcW w:w="354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5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研究室研究岗位</w:t>
            </w:r>
          </w:p>
        </w:tc>
        <w:tc>
          <w:tcPr>
            <w:tcW w:w="70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4</w:t>
            </w:r>
          </w:p>
        </w:tc>
        <w:tc>
          <w:tcPr>
            <w:tcW w:w="189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2020年国内普通高校应届毕业生（京内生源、京外生源）、出站博士后、社会在职人员（京内户籍）、留学人员</w:t>
            </w:r>
          </w:p>
        </w:tc>
        <w:tc>
          <w:tcPr>
            <w:tcW w:w="354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1.具有博士学历学位（应届毕业生能如期毕业且顺利取得国家教育主管部门认证的学历、学位；留学人员能够取得教育部留学服务中心学历学位认证的学历、学位）；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2.马克思主义基本理论、马克思主义中国化、中共党史等专业，以及新中国研究相关专业等。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5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科研办公室图资岗位</w:t>
            </w:r>
          </w:p>
        </w:tc>
        <w:tc>
          <w:tcPr>
            <w:tcW w:w="70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</w:t>
            </w:r>
          </w:p>
        </w:tc>
        <w:tc>
          <w:tcPr>
            <w:tcW w:w="189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2020年国内普通高校应届毕业生（京内生源）、社会在职人员（京内户籍）、留学人员</w:t>
            </w:r>
          </w:p>
        </w:tc>
        <w:tc>
          <w:tcPr>
            <w:tcW w:w="354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1.具有硕士及以上学历学位（应届毕业生能如期毕业且顺利取得国家教育主管部门认证的学历、学位；留学人员能够取得教育部留学服务中心学历学位认证的学历、学位）；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2.图书馆学、信息资源管理、情报学、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图书情报与档案管理类其他专业、中共党史、历史学、中国近现代史等相关专业。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C4B52"/>
    <w:rsid w:val="284C4B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Acronym"/>
    <w:basedOn w:val="5"/>
    <w:uiPriority w:val="0"/>
    <w:rPr>
      <w:bdr w:val="none" w:color="auto" w:sz="0" w:space="0"/>
    </w:rPr>
  </w:style>
  <w:style w:type="character" w:styleId="11">
    <w:name w:val="HTML Variable"/>
    <w:basedOn w:val="5"/>
    <w:uiPriority w:val="0"/>
  </w:style>
  <w:style w:type="character" w:styleId="12">
    <w:name w:val="Hyperlink"/>
    <w:basedOn w:val="5"/>
    <w:uiPriority w:val="0"/>
    <w:rPr>
      <w:color w:val="000000"/>
      <w:u w:val="none"/>
    </w:rPr>
  </w:style>
  <w:style w:type="character" w:styleId="13">
    <w:name w:val="HTML Code"/>
    <w:basedOn w:val="5"/>
    <w:uiPriority w:val="0"/>
    <w:rPr>
      <w:rFonts w:ascii="Courier New" w:hAnsi="Courier New"/>
      <w:sz w:val="20"/>
    </w:rPr>
  </w:style>
  <w:style w:type="character" w:styleId="14">
    <w:name w:val="HTML Cit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2020-07-31T07:52:00Z</dcterms:created>
  <dc:creator>ASUS</dc:creator>
  <cp:lastModifiedBy>ASUS</cp:lastModifiedBy>
  <dcterms:modified xsi:type="dcterms:W3CDTF">2020-07-31T07:53:21Z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