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EF" w:rsidRDefault="00427FEF" w:rsidP="006E16C6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  <w:r w:rsidRPr="00037657">
        <w:rPr>
          <w:rFonts w:ascii="仿宋_GB2312" w:eastAsia="仿宋_GB2312" w:hAnsi="仿宋" w:hint="eastAsia"/>
          <w:sz w:val="32"/>
          <w:szCs w:val="32"/>
        </w:rPr>
        <w:t>附件1：</w:t>
      </w:r>
    </w:p>
    <w:p w:rsidR="00427FEF" w:rsidRPr="00DB3FEF" w:rsidRDefault="0027671A" w:rsidP="00427FEF">
      <w:pPr>
        <w:widowControl/>
        <w:spacing w:line="560" w:lineRule="exact"/>
        <w:jc w:val="center"/>
        <w:rPr>
          <w:rFonts w:ascii="仿宋_GB2312" w:eastAsia="仿宋_GB2312" w:hAnsi="仿宋"/>
          <w:spacing w:val="-10"/>
          <w:sz w:val="32"/>
          <w:szCs w:val="32"/>
        </w:rPr>
      </w:pPr>
      <w:r w:rsidRPr="0027671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温州高新技术产业开发区国有控股集团有限公司</w:t>
      </w:r>
      <w:r w:rsidR="006E16C6" w:rsidRPr="00DB3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</w:t>
      </w:r>
      <w:r w:rsidR="001421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选调</w:t>
      </w:r>
      <w:r w:rsidR="006E16C6" w:rsidRPr="00DB3FE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工作人员计划一览表</w:t>
      </w:r>
    </w:p>
    <w:p w:rsidR="00427FEF" w:rsidRDefault="00427FEF" w:rsidP="00427FEF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59"/>
        <w:gridCol w:w="2470"/>
        <w:gridCol w:w="850"/>
        <w:gridCol w:w="1985"/>
        <w:gridCol w:w="992"/>
        <w:gridCol w:w="1276"/>
        <w:gridCol w:w="1275"/>
        <w:gridCol w:w="3860"/>
      </w:tblGrid>
      <w:tr w:rsidR="00C545B7" w:rsidRPr="006E16C6" w:rsidTr="005907BA">
        <w:trPr>
          <w:trHeight w:val="868"/>
        </w:trPr>
        <w:tc>
          <w:tcPr>
            <w:tcW w:w="914" w:type="dxa"/>
            <w:shd w:val="clear" w:color="auto" w:fill="auto"/>
            <w:vAlign w:val="center"/>
            <w:hideMark/>
          </w:tcPr>
          <w:p w:rsidR="00C545B7" w:rsidRPr="006E16C6" w:rsidRDefault="00C545B7" w:rsidP="00AB1168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C545B7" w:rsidRPr="006E16C6" w:rsidRDefault="00C545B7" w:rsidP="003630C4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545B7" w:rsidRPr="006E16C6" w:rsidRDefault="00C545B7" w:rsidP="003630C4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45B7" w:rsidRPr="006E16C6" w:rsidRDefault="00C545B7" w:rsidP="003630C4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45B7" w:rsidRPr="006E16C6" w:rsidRDefault="00C545B7" w:rsidP="0045228A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职称</w:t>
            </w: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或职业资格</w:t>
            </w:r>
          </w:p>
        </w:tc>
        <w:tc>
          <w:tcPr>
            <w:tcW w:w="992" w:type="dxa"/>
            <w:vAlign w:val="center"/>
          </w:tcPr>
          <w:p w:rsidR="00C545B7" w:rsidRPr="006E16C6" w:rsidRDefault="00C545B7" w:rsidP="00764C93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45B7" w:rsidRPr="006E16C6" w:rsidRDefault="00C545B7" w:rsidP="003630C4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6E16C6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 xml:space="preserve">年龄                </w:t>
            </w:r>
          </w:p>
        </w:tc>
        <w:tc>
          <w:tcPr>
            <w:tcW w:w="1275" w:type="dxa"/>
            <w:vAlign w:val="center"/>
          </w:tcPr>
          <w:p w:rsidR="00C545B7" w:rsidRPr="00C545B7" w:rsidRDefault="00C545B7" w:rsidP="00C545B7">
            <w:pPr>
              <w:widowControl/>
              <w:spacing w:line="500" w:lineRule="exact"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545B7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3860" w:type="dxa"/>
            <w:vAlign w:val="center"/>
            <w:hideMark/>
          </w:tcPr>
          <w:p w:rsidR="00C545B7" w:rsidRPr="006E16C6" w:rsidRDefault="00C545B7" w:rsidP="0049105B">
            <w:pPr>
              <w:widowControl/>
              <w:spacing w:line="500" w:lineRule="exact"/>
              <w:ind w:firstLineChars="800" w:firstLine="1922"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备    注</w:t>
            </w:r>
          </w:p>
        </w:tc>
      </w:tr>
      <w:tr w:rsidR="00C545B7" w:rsidRPr="006E16C6" w:rsidTr="005907BA">
        <w:trPr>
          <w:trHeight w:val="1684"/>
        </w:trPr>
        <w:tc>
          <w:tcPr>
            <w:tcW w:w="914" w:type="dxa"/>
            <w:shd w:val="clear" w:color="auto" w:fill="auto"/>
            <w:vAlign w:val="center"/>
            <w:hideMark/>
          </w:tcPr>
          <w:p w:rsidR="00C545B7" w:rsidRPr="006E16C6" w:rsidRDefault="00C545B7" w:rsidP="006E16C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="009D0D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C545B7" w:rsidRPr="006E16C6" w:rsidRDefault="00C545B7" w:rsidP="006E16C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:rsidR="00C545B7" w:rsidRDefault="00C545B7" w:rsidP="00B13DA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29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工程造价、工程管理、工程造价管理、道路桥梁与渡河工程、土木工程、工民建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3629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工程管理、桥梁与隧道工程、市政工程、建筑与土木工程、土木水利、结构工程、桥梁与隧道工程、土木工程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职称：工程师及以上；或职业资格：建造师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（一级、二级）</w:t>
            </w: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、造价师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（一级）</w:t>
            </w: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、结构师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（一级、二级）</w:t>
            </w:r>
          </w:p>
        </w:tc>
        <w:tc>
          <w:tcPr>
            <w:tcW w:w="992" w:type="dxa"/>
            <w:vAlign w:val="center"/>
          </w:tcPr>
          <w:p w:rsidR="00C545B7" w:rsidRPr="00024973" w:rsidRDefault="00C545B7" w:rsidP="00764C9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</w:t>
            </w:r>
            <w:r w:rsidR="00D45B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  <w:r w:rsidR="00D45B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1984年12月31日以后出生</w:t>
            </w:r>
          </w:p>
        </w:tc>
        <w:tc>
          <w:tcPr>
            <w:tcW w:w="1275" w:type="dxa"/>
            <w:vAlign w:val="center"/>
          </w:tcPr>
          <w:p w:rsidR="00C545B7" w:rsidRDefault="00C545B7" w:rsidP="00C545B7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5年及以上工作经历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C545B7" w:rsidRPr="006E16C6" w:rsidRDefault="00DE07FE" w:rsidP="00E13D54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具有高级工程师、一级建造师、一级结构师的报考人员，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对专业不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要求，年龄放宽至19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月31日以后，学历放宽至本科及以上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；全日制硕士研究生及以上报考人员，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对专业不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要求，年龄放宽至19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C545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C545B7"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月31日以后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            二、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工作强度大，经常加强，更适合男性</w:t>
            </w:r>
          </w:p>
        </w:tc>
      </w:tr>
      <w:tr w:rsidR="00C545B7" w:rsidRPr="006E16C6" w:rsidTr="005907BA">
        <w:trPr>
          <w:trHeight w:val="1684"/>
        </w:trPr>
        <w:tc>
          <w:tcPr>
            <w:tcW w:w="914" w:type="dxa"/>
            <w:shd w:val="clear" w:color="auto" w:fill="auto"/>
            <w:vAlign w:val="center"/>
          </w:tcPr>
          <w:p w:rsidR="00C545B7" w:rsidRPr="006E16C6" w:rsidRDefault="00C545B7" w:rsidP="008D6F7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="009D0D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E16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C545B7" w:rsidRPr="006E16C6" w:rsidRDefault="00C545B7" w:rsidP="008D6F7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45B7" w:rsidRPr="00B13DAE" w:rsidRDefault="00C545B7" w:rsidP="00B13DA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29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财务管理、会计、会计学、财务会计教育、审计学、财务会计与审计、审计学（ACCA方向）；                   </w:t>
            </w:r>
            <w:r w:rsidRPr="003629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研究生:</w:t>
            </w: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会计、会计学、会计硕士、审计、审计硕士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会计师或高级会计师或注册会计师</w:t>
            </w:r>
          </w:p>
        </w:tc>
        <w:tc>
          <w:tcPr>
            <w:tcW w:w="992" w:type="dxa"/>
            <w:vAlign w:val="center"/>
          </w:tcPr>
          <w:p w:rsidR="00C545B7" w:rsidRPr="00024973" w:rsidRDefault="00D45B7C" w:rsidP="00764C9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  市区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1984年12月31日以后出生</w:t>
            </w:r>
          </w:p>
        </w:tc>
        <w:tc>
          <w:tcPr>
            <w:tcW w:w="1275" w:type="dxa"/>
            <w:vAlign w:val="center"/>
          </w:tcPr>
          <w:p w:rsidR="00C545B7" w:rsidRPr="00B13DAE" w:rsidRDefault="00C545B7" w:rsidP="00C545B7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5年及以上工作经历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C545B7" w:rsidRPr="00B13DAE" w:rsidRDefault="00C545B7" w:rsidP="00B13DA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高级会计师与注册会计师报考人员，对专业不做要求，年龄放宽至1979年12月31日以后，学历放宽至本科及以上；全日制硕士研究生及以上报考人员，对专业不作要求，年龄放宽至1979年12月31日以后</w:t>
            </w:r>
          </w:p>
        </w:tc>
      </w:tr>
      <w:tr w:rsidR="00C545B7" w:rsidRPr="006E16C6" w:rsidTr="005907BA">
        <w:trPr>
          <w:trHeight w:val="1684"/>
        </w:trPr>
        <w:tc>
          <w:tcPr>
            <w:tcW w:w="914" w:type="dxa"/>
            <w:shd w:val="clear" w:color="auto" w:fill="auto"/>
            <w:vAlign w:val="center"/>
          </w:tcPr>
          <w:p w:rsidR="00C545B7" w:rsidRPr="006E16C6" w:rsidRDefault="00C545B7" w:rsidP="008D6F7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信息化管理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C545B7" w:rsidRDefault="00C545B7" w:rsidP="008D6F7E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45B7" w:rsidRDefault="00C545B7" w:rsidP="00B13DAE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本科：</w:t>
            </w:r>
            <w:r w:rsidRPr="00A245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计算机类、电子信息类</w:t>
            </w:r>
          </w:p>
          <w:p w:rsidR="00C545B7" w:rsidRPr="00AB1168" w:rsidRDefault="00C545B7" w:rsidP="00B13DAE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研究生：</w:t>
            </w:r>
            <w:r w:rsidRPr="00A245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计算机科学与技术、软件工程、信息与通信工程、电子科学与技术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5B7" w:rsidRPr="00024973" w:rsidRDefault="00D45B7C" w:rsidP="00764C93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温州  市区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5B7" w:rsidRPr="00024973" w:rsidRDefault="00C545B7" w:rsidP="00024973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4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1984年12月31日以后出生</w:t>
            </w:r>
          </w:p>
        </w:tc>
        <w:tc>
          <w:tcPr>
            <w:tcW w:w="1275" w:type="dxa"/>
            <w:vAlign w:val="center"/>
          </w:tcPr>
          <w:p w:rsidR="00C545B7" w:rsidRPr="00B13DAE" w:rsidRDefault="00C545B7" w:rsidP="00C545B7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5年及以上工作经历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C545B7" w:rsidRPr="00B13DAE" w:rsidRDefault="00DE07FE" w:rsidP="00C545B7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</w:t>
            </w:r>
            <w:r w:rsidR="00C545B7" w:rsidRPr="00B13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全日制硕士研究生及以上报考人员，年龄放宽至1979年12月31日以后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；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二、该岗位工作强度大，经常加强，更适合男性</w:t>
            </w:r>
            <w:bookmarkStart w:id="0" w:name="_GoBack"/>
            <w:bookmarkEnd w:id="0"/>
          </w:p>
        </w:tc>
      </w:tr>
    </w:tbl>
    <w:p w:rsidR="00452DDD" w:rsidRPr="00043789" w:rsidRDefault="00452DDD" w:rsidP="004978FD"/>
    <w:sectPr w:rsidR="00452DDD" w:rsidRPr="00043789" w:rsidSect="004978F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7C" w:rsidRDefault="0098527C" w:rsidP="00427FEF">
      <w:pPr>
        <w:spacing w:line="240" w:lineRule="auto"/>
      </w:pPr>
      <w:r>
        <w:separator/>
      </w:r>
    </w:p>
  </w:endnote>
  <w:endnote w:type="continuationSeparator" w:id="0">
    <w:p w:rsidR="0098527C" w:rsidRDefault="0098527C" w:rsidP="00427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7C" w:rsidRDefault="0098527C" w:rsidP="00427FEF">
      <w:pPr>
        <w:spacing w:line="240" w:lineRule="auto"/>
      </w:pPr>
      <w:r>
        <w:separator/>
      </w:r>
    </w:p>
  </w:footnote>
  <w:footnote w:type="continuationSeparator" w:id="0">
    <w:p w:rsidR="0098527C" w:rsidRDefault="0098527C" w:rsidP="00427F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FEF"/>
    <w:rsid w:val="00011F96"/>
    <w:rsid w:val="00024973"/>
    <w:rsid w:val="00043789"/>
    <w:rsid w:val="00075C05"/>
    <w:rsid w:val="00101C44"/>
    <w:rsid w:val="001421C4"/>
    <w:rsid w:val="00212279"/>
    <w:rsid w:val="00232F7E"/>
    <w:rsid w:val="00260775"/>
    <w:rsid w:val="002665F7"/>
    <w:rsid w:val="0027671A"/>
    <w:rsid w:val="00295FAB"/>
    <w:rsid w:val="002D1D40"/>
    <w:rsid w:val="002F53E1"/>
    <w:rsid w:val="0033648C"/>
    <w:rsid w:val="00361D4E"/>
    <w:rsid w:val="00362996"/>
    <w:rsid w:val="003630C4"/>
    <w:rsid w:val="003A580A"/>
    <w:rsid w:val="004018AA"/>
    <w:rsid w:val="0042681E"/>
    <w:rsid w:val="00427FEF"/>
    <w:rsid w:val="0045228A"/>
    <w:rsid w:val="00452DDD"/>
    <w:rsid w:val="00487779"/>
    <w:rsid w:val="0049105B"/>
    <w:rsid w:val="004978FD"/>
    <w:rsid w:val="00543C9A"/>
    <w:rsid w:val="00565CBA"/>
    <w:rsid w:val="005907BA"/>
    <w:rsid w:val="006156E5"/>
    <w:rsid w:val="00646151"/>
    <w:rsid w:val="006D03B8"/>
    <w:rsid w:val="006D3562"/>
    <w:rsid w:val="006E16C6"/>
    <w:rsid w:val="00764C93"/>
    <w:rsid w:val="007E430E"/>
    <w:rsid w:val="0080771A"/>
    <w:rsid w:val="00837253"/>
    <w:rsid w:val="00884848"/>
    <w:rsid w:val="008F6C68"/>
    <w:rsid w:val="00952A6A"/>
    <w:rsid w:val="0098527C"/>
    <w:rsid w:val="009A00C1"/>
    <w:rsid w:val="009D0D15"/>
    <w:rsid w:val="00A245EE"/>
    <w:rsid w:val="00A72648"/>
    <w:rsid w:val="00AB1168"/>
    <w:rsid w:val="00B13DAE"/>
    <w:rsid w:val="00B25315"/>
    <w:rsid w:val="00B4374A"/>
    <w:rsid w:val="00B64FF5"/>
    <w:rsid w:val="00BC0141"/>
    <w:rsid w:val="00C030CF"/>
    <w:rsid w:val="00C545B7"/>
    <w:rsid w:val="00C662B4"/>
    <w:rsid w:val="00C84F14"/>
    <w:rsid w:val="00C91DDE"/>
    <w:rsid w:val="00CE1F5D"/>
    <w:rsid w:val="00D24EB1"/>
    <w:rsid w:val="00D45B7C"/>
    <w:rsid w:val="00DB05BC"/>
    <w:rsid w:val="00DB3FEF"/>
    <w:rsid w:val="00DC102D"/>
    <w:rsid w:val="00DE07FE"/>
    <w:rsid w:val="00DE7772"/>
    <w:rsid w:val="00E13D54"/>
    <w:rsid w:val="00E84BED"/>
    <w:rsid w:val="00EE13AD"/>
    <w:rsid w:val="00F347A1"/>
    <w:rsid w:val="00F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F"/>
    <w:pPr>
      <w:widowControl w:val="0"/>
      <w:spacing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F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FE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7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ptg</dc:creator>
  <cp:keywords/>
  <dc:description/>
  <cp:lastModifiedBy>金凡</cp:lastModifiedBy>
  <cp:revision>45</cp:revision>
  <dcterms:created xsi:type="dcterms:W3CDTF">2019-09-05T01:15:00Z</dcterms:created>
  <dcterms:modified xsi:type="dcterms:W3CDTF">2020-07-31T02:02:00Z</dcterms:modified>
</cp:coreProperties>
</file>