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/>
          <w:color w:val="5A5A5A"/>
          <w:spacing w:val="15"/>
          <w:sz w:val="18"/>
          <w:szCs w:val="18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br/>
      </w: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br/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405" w:lineRule="atLeast"/>
        <w:ind w:firstLine="300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附件1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300"/>
        <w:jc w:val="center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6"/>
          <w:szCs w:val="36"/>
          <w:shd w:val="clear" w:color="auto" w:fill="FFFFFF"/>
        </w:rPr>
        <w:t>2020年</w:t>
      </w:r>
      <w:r w:rsidRPr="00FE7FCB">
        <w:rPr>
          <w:rFonts w:ascii="黑体" w:eastAsia="黑体" w:hAnsi="黑体" w:cs="宋体" w:hint="eastAsia"/>
          <w:color w:val="5A5A5A"/>
          <w:spacing w:val="15"/>
          <w:sz w:val="36"/>
          <w:szCs w:val="36"/>
        </w:rPr>
        <w:t>银龄助康计划</w:t>
      </w:r>
      <w:r w:rsidRPr="00FE7FCB">
        <w:rPr>
          <w:rFonts w:ascii="黑体" w:eastAsia="黑体" w:hAnsi="黑体" w:cs="宋体" w:hint="eastAsia"/>
          <w:color w:val="5A5A5A"/>
          <w:spacing w:val="15"/>
          <w:sz w:val="36"/>
          <w:szCs w:val="36"/>
          <w:shd w:val="clear" w:color="auto" w:fill="FFFFFF"/>
        </w:rPr>
        <w:t>招募岗位表</w:t>
      </w:r>
    </w:p>
    <w:tbl>
      <w:tblPr>
        <w:tblW w:w="13410" w:type="dxa"/>
        <w:jc w:val="center"/>
        <w:tblCellMar>
          <w:left w:w="0" w:type="dxa"/>
          <w:right w:w="0" w:type="dxa"/>
        </w:tblCellMar>
        <w:tblLook w:val="04A0"/>
      </w:tblPr>
      <w:tblGrid>
        <w:gridCol w:w="1303"/>
        <w:gridCol w:w="3491"/>
        <w:gridCol w:w="2405"/>
        <w:gridCol w:w="3460"/>
        <w:gridCol w:w="884"/>
        <w:gridCol w:w="1867"/>
      </w:tblGrid>
      <w:tr w:rsidR="00FE7FCB" w:rsidRPr="00FE7FCB" w:rsidTr="00FE7FCB">
        <w:trPr>
          <w:trHeight w:val="58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地区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285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乡镇医疗卫生机构名称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岗位专业要求</w:t>
            </w:r>
          </w:p>
        </w:tc>
        <w:tc>
          <w:tcPr>
            <w:tcW w:w="3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职称要求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岗位人数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联系人</w:t>
            </w:r>
          </w:p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联系电话</w:t>
            </w:r>
          </w:p>
        </w:tc>
      </w:tr>
      <w:tr w:rsidR="00FE7FCB" w:rsidRPr="00FE7FCB" w:rsidTr="00FE7FCB">
        <w:trPr>
          <w:trHeight w:val="33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市本级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普陀山社区卫生服务中心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 </w:t>
            </w: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外科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副高及以上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姜华</w:t>
            </w:r>
          </w:p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13587065735</w:t>
            </w:r>
          </w:p>
        </w:tc>
      </w:tr>
      <w:tr w:rsidR="00FE7FCB" w:rsidRPr="00FE7FCB" w:rsidTr="00FE7FCB">
        <w:trPr>
          <w:jc w:val="center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定海区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小沙街道社区卫生服务中心长白分中心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全科或内科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中级及以上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葛平安</w:t>
            </w:r>
          </w:p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13656825002</w:t>
            </w:r>
          </w:p>
        </w:tc>
      </w:tr>
      <w:tr w:rsidR="00FE7FCB" w:rsidRPr="00FE7FCB" w:rsidTr="00FE7FC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金塘镇中心卫生院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内科（心血管或糖尿病专业更佳）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副高及以上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胡波静13575621357</w:t>
            </w:r>
          </w:p>
        </w:tc>
      </w:tr>
      <w:tr w:rsidR="00FE7FCB" w:rsidRPr="00FE7FCB" w:rsidTr="00FE7FCB">
        <w:trPr>
          <w:jc w:val="center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普陀区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普陀区第二人民医院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妇科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副高及以上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孙波</w:t>
            </w:r>
          </w:p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13957233680</w:t>
            </w:r>
          </w:p>
        </w:tc>
      </w:tr>
      <w:tr w:rsidR="00FE7FCB" w:rsidRPr="00FE7FCB" w:rsidTr="00FE7FC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六横镇中心卫生院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内科（心血管专业更佳）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副高及以上，确有业务专长的放宽到主治及以上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陈洁琼</w:t>
            </w:r>
          </w:p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15957083134</w:t>
            </w:r>
          </w:p>
        </w:tc>
      </w:tr>
      <w:tr w:rsidR="00FE7FCB" w:rsidRPr="00FE7FCB" w:rsidTr="00FE7FC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虾峙镇中心卫生院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全科医学、内科或外科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全科医学中级及以上、其他专业副高及以上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张廷富</w:t>
            </w:r>
          </w:p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13666588981</w:t>
            </w:r>
          </w:p>
        </w:tc>
      </w:tr>
      <w:tr w:rsidR="00FE7FCB" w:rsidRPr="00FE7FCB" w:rsidTr="00FE7FCB">
        <w:trPr>
          <w:jc w:val="center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嵊泗县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嵊泗县人民医院嵊山分院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全科或内科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</w:rPr>
              <w:t>副高及以上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林敏0580--5084723</w:t>
            </w:r>
          </w:p>
        </w:tc>
      </w:tr>
      <w:tr w:rsidR="00FE7FCB" w:rsidRPr="00FE7FCB" w:rsidTr="00FE7FC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嵊泗县人民医院黄龙分院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全科或内科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中级及以上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E7FCB" w:rsidRPr="00FE7FCB" w:rsidTr="00FE7FCB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嵊泗县人民医院花鸟分</w:t>
            </w: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lastRenderedPageBreak/>
              <w:t>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lastRenderedPageBreak/>
              <w:t>全科或内科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中级及以上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405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lastRenderedPageBreak/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 xml:space="preserve"> 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 xml:space="preserve"> 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 xml:space="preserve"> 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 xml:space="preserve"> 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 xml:space="preserve"> 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 xml:space="preserve"> 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 xml:space="preserve"> 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 </w:t>
      </w: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t>注：为推进甬舟人才一体化发展，优先考虑宁波医疗机构的退休医师。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仿宋_GB2312" w:eastAsia="仿宋_GB2312" w:hAnsi="微软雅黑" w:cs="宋体" w:hint="eastAsia"/>
          <w:color w:val="5A5A5A"/>
          <w:spacing w:val="15"/>
          <w:sz w:val="32"/>
          <w:szCs w:val="32"/>
        </w:rPr>
        <w:br/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300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6"/>
          <w:szCs w:val="36"/>
          <w:shd w:val="clear" w:color="auto" w:fill="FFFFFF"/>
        </w:rPr>
        <w:t>附件2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300"/>
        <w:jc w:val="center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6"/>
          <w:szCs w:val="36"/>
          <w:shd w:val="clear" w:color="auto" w:fill="FFFFFF"/>
        </w:rPr>
        <w:t>2020年银龄助康计划招募单位简介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一、普陀山社区卫生服务中心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普陀山是中国四大佛教名山之一，全域面积12.5平方公里，素有“海天佛国”之称，为国家5A级旅游风景区。普陀山社区卫生服务中心占地面积约10000平方米，设有预防保健、全科医疗、妇科、口腔科、急诊等业务科室，核定床位30张；现有职工84人，其中卫技人员59人，中高级职称人员24人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二、金塘镇中心卫生院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金塘岛是舟山第四大岛，是舟山连接大陆的桥头堡和重要门户，也是宁波舟山港核心港区之一，陆域面积88平方公里，户籍人口4.2万。金塘镇中心卫生院是集门急诊、住院、急救、康复、预防保健、健康教育、体检为一体的为甲等乡镇卫生院，拥有DR、彩色B超、电</w:t>
      </w: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lastRenderedPageBreak/>
        <w:t>子胃镜等医疗设备。核定床位50张床，在岗职工118人，中高级职称40人。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三、小沙街道社区卫生服务中心长白分中心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长白位于舟山本岛西北部，以岛设乡，由</w:t>
      </w:r>
      <w:hyperlink r:id="rId4" w:tgtFrame="https://baike.baidu.com/item/%E9%95%BF%E7%99%BD%E4%B9%A1/_blank" w:history="1">
        <w:r w:rsidRPr="00FE7FCB">
          <w:rPr>
            <w:rFonts w:ascii="仿宋" w:eastAsia="仿宋" w:hAnsi="仿宋" w:cs="宋体" w:hint="eastAsia"/>
            <w:spacing w:val="15"/>
            <w:sz w:val="32"/>
          </w:rPr>
          <w:t>长白岛</w:t>
        </w:r>
      </w:hyperlink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、峙中岛两个住人岛屿和9个无人小岛组成，有着深水良港的优势，吸引了水产、船坞、石油中转等项目工程，陆域面积约12.95平方公里，人口6035人。长白分中心建筑面积1000平方，楼房建筑时间较晚，环境整洁，配备有DR、心电、B超、化验、远程医疗等设备，共有医务人员16人，中高级职称4人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四、普陀区第二人民医院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textAlignment w:val="top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六横岛距宁波北仑6公里海峡，被称为“宁波海上后花园”，为综合临港产业岛，海陆交通十分便利，六横镇是舟山第一大镇，连续二年入选全国综合实力千强镇。普陀区第二人民医院始建于1952年，医院占地面积14842平方米，现有职工194人，副高以上职称15人。目前开放床位105张，年门诊量20万人次左右，住院人次4000人次左右。拥有东芝16排螺旋CT、飞利浦DR数字摄片系统、美国进口GE彩超、进口全自动生化分析</w:t>
      </w: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lastRenderedPageBreak/>
        <w:t>仪、耳鼻喉内窥镜、手术显微镜、奥林巴斯胃肠镜一体化系统等一批先进设备。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五、六横镇中心卫生院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六横岛距宁波北仑6公里海峡，被称为“宁波海上后花园”，为综合临港产业岛，海陆交通十分便利，六横镇是舟山第一大镇，连续二年入选全国综合实力千强镇。六横镇中心卫生院是集内科、外科、中医科、口腔科、全科门诊、肠道、发热门诊等临床科室于一体的乙等乡镇卫生院，建筑面积3500平方米，下设31家一体化管理卫生室，现有职工137人， 2019年门诊量26万人次。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六、普陀区虾峙镇中心卫生院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虾峙岛位于舟山群岛南部，陆域面积22.99平方公里，常住人口8100多人。虾峙镇中心卫生院下辖7个村卫生室，在岗职工数85人，中高级以上职称6人，设有内科、外科、妇产科、中医科、发热门诊、药房、检验、放射、超声等临床科室，其中预防接种、孕产妇保健、儿童保健达到市级规范化门诊水平。2019年投入100多</w:t>
      </w: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lastRenderedPageBreak/>
        <w:t>万，新建全科住院病房。医院为每位专家提供单独套间，生活设施齐全，上下班方便。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七、嵊泗县人民医院嵊山分院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嵊山岛又名“尽山”，意“诸岛至尽也，而曰尽山”，是东海中的“天涯国门”，被喻为“太阳的故乡”，陆域面积7.13平方公里。嵊山分院为浙江省农村中心集镇示范卫生院，总建筑面积3949平方米，配备 CT、彩超、全自动生化分析仪、尿液分析仪、血球计数仪、心电图机、心电监护仪、除颤仪等医疗设备，在岗职工总数57人，已开展远程医疗协作和网络预约转诊。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八、嵊泗县人民医院黄龙分院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黄龙乡位于我国东海东部，处东海大陆架和长江口区，是</w:t>
      </w:r>
      <w:hyperlink r:id="rId5" w:tgtFrame="_blank" w:history="1">
        <w:r w:rsidRPr="00FE7FCB">
          <w:rPr>
            <w:rFonts w:ascii="仿宋" w:eastAsia="仿宋" w:hAnsi="仿宋" w:cs="宋体" w:hint="eastAsia"/>
            <w:spacing w:val="15"/>
            <w:sz w:val="32"/>
          </w:rPr>
          <w:t>嵊泗</w:t>
        </w:r>
      </w:hyperlink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列岛中的崎岖岛群，岛屿陆地面积6.26平方公里，总人口8483人。黄龙分院总面积1200平方，现有在岗职工24人，配备CR、彩超、全自动生化仪等设备。并能提供远程医疗和网络预约转诊。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九、嵊泗县人民医院花鸟分院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t>花鸟乡位于浙江省舟山群岛的最北端，马鞍列岛北部，四面环海，为旅游示范岛，被誉为“东方圣托里</w:t>
      </w:r>
      <w:r w:rsidRPr="00FE7FCB">
        <w:rPr>
          <w:rFonts w:ascii="仿宋" w:eastAsia="仿宋" w:hAnsi="仿宋" w:cs="宋体" w:hint="eastAsia"/>
          <w:color w:val="5A5A5A"/>
          <w:spacing w:val="15"/>
          <w:sz w:val="32"/>
          <w:szCs w:val="32"/>
        </w:rPr>
        <w:lastRenderedPageBreak/>
        <w:t>尼”，旅游人气兴旺，有60多家民宿和1家旅游开发公司， 2019年被列入首批全国旅游重点村名单。花鸟分院占地面积325平方，配备有心电图机、心电监护仪、洗胃机等设备，为岛上居民开展基本医疗和基本公共卫生服务，现有职工4名。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64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宋体" w:eastAsia="宋体" w:hAnsi="宋体" w:cs="宋体" w:hint="eastAsia"/>
          <w:color w:val="5A5A5A"/>
          <w:spacing w:val="15"/>
          <w:sz w:val="32"/>
          <w:szCs w:val="32"/>
        </w:rPr>
        <w:t> 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textAlignment w:val="center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附件3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300"/>
        <w:jc w:val="center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6"/>
          <w:szCs w:val="36"/>
        </w:rPr>
        <w:t>银龄助康计划报名登记表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仿宋_GB2312" w:eastAsia="仿宋_GB2312" w:hAnsi="微软雅黑" w:cs="宋体" w:hint="eastAsia"/>
          <w:color w:val="5A5A5A"/>
          <w:spacing w:val="15"/>
          <w:sz w:val="24"/>
          <w:szCs w:val="24"/>
        </w:rPr>
        <w:t> </w:t>
      </w:r>
    </w:p>
    <w:tbl>
      <w:tblPr>
        <w:tblW w:w="9735" w:type="dxa"/>
        <w:jc w:val="center"/>
        <w:tblCellMar>
          <w:left w:w="0" w:type="dxa"/>
          <w:right w:w="0" w:type="dxa"/>
        </w:tblCellMar>
        <w:tblLook w:val="04A0"/>
      </w:tblPr>
      <w:tblGrid>
        <w:gridCol w:w="1497"/>
        <w:gridCol w:w="2556"/>
        <w:gridCol w:w="30"/>
        <w:gridCol w:w="1451"/>
        <w:gridCol w:w="179"/>
        <w:gridCol w:w="1255"/>
        <w:gridCol w:w="898"/>
        <w:gridCol w:w="1855"/>
        <w:gridCol w:w="14"/>
      </w:tblGrid>
      <w:tr w:rsidR="00FE7FCB" w:rsidRPr="00FE7FCB" w:rsidTr="00FE7FCB">
        <w:trPr>
          <w:trHeight w:val="510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姓名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性别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贴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相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65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出生年月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民族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05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籍贯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政治面貌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健康状况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医学学历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20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医学学位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所学专业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375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专业技术</w:t>
            </w:r>
          </w:p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资格职称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身份证</w:t>
            </w:r>
          </w:p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号码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95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退休前工作</w:t>
            </w:r>
          </w:p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单位及职务</w:t>
            </w:r>
          </w:p>
        </w:tc>
        <w:tc>
          <w:tcPr>
            <w:tcW w:w="823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675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60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户籍所在地</w:t>
            </w:r>
          </w:p>
        </w:tc>
        <w:tc>
          <w:tcPr>
            <w:tcW w:w="82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95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家庭通信</w:t>
            </w:r>
          </w:p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地址</w:t>
            </w:r>
          </w:p>
        </w:tc>
        <w:tc>
          <w:tcPr>
            <w:tcW w:w="5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邮政编</w:t>
            </w: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lastRenderedPageBreak/>
              <w:t>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615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60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lastRenderedPageBreak/>
              <w:t>手机号码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60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电子邮箱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750"/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家庭联</w:t>
            </w:r>
          </w:p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系人姓名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1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家庭联系人电话号码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9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30"/>
                <w:szCs w:val="30"/>
              </w:rPr>
              <w:t>医师资格相关信息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50"/>
          <w:jc w:val="center"/>
        </w:trPr>
        <w:tc>
          <w:tcPr>
            <w:tcW w:w="4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4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医师资格证书编码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80"/>
          <w:jc w:val="center"/>
        </w:trPr>
        <w:tc>
          <w:tcPr>
            <w:tcW w:w="4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4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医师资格证书发证时间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55"/>
          <w:jc w:val="center"/>
        </w:trPr>
        <w:tc>
          <w:tcPr>
            <w:tcW w:w="4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4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医师资格证书资格类别</w:t>
            </w:r>
          </w:p>
        </w:tc>
        <w:tc>
          <w:tcPr>
            <w:tcW w:w="37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480"/>
          <w:jc w:val="center"/>
        </w:trPr>
        <w:tc>
          <w:tcPr>
            <w:tcW w:w="4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4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原医师执业证书原执业类别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70"/>
          <w:jc w:val="center"/>
        </w:trPr>
        <w:tc>
          <w:tcPr>
            <w:tcW w:w="4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4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原医师执业证书原执业范围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85"/>
          <w:jc w:val="center"/>
        </w:trPr>
        <w:tc>
          <w:tcPr>
            <w:tcW w:w="4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 w:line="345" w:lineRule="atLeast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原医师执业证书主要执业机构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29"/>
          <w:szCs w:val="29"/>
        </w:rPr>
        <w:br/>
      </w:r>
    </w:p>
    <w:tbl>
      <w:tblPr>
        <w:tblW w:w="9600" w:type="dxa"/>
        <w:jc w:val="center"/>
        <w:tblInd w:w="195" w:type="dxa"/>
        <w:tblCellMar>
          <w:left w:w="0" w:type="dxa"/>
          <w:right w:w="0" w:type="dxa"/>
        </w:tblCellMar>
        <w:tblLook w:val="04A0"/>
      </w:tblPr>
      <w:tblGrid>
        <w:gridCol w:w="1512"/>
        <w:gridCol w:w="463"/>
        <w:gridCol w:w="1094"/>
        <w:gridCol w:w="854"/>
        <w:gridCol w:w="2321"/>
        <w:gridCol w:w="1543"/>
        <w:gridCol w:w="240"/>
        <w:gridCol w:w="1573"/>
      </w:tblGrid>
      <w:tr w:rsidR="00FE7FCB" w:rsidRPr="00FE7FCB" w:rsidTr="00FE7FCB">
        <w:trPr>
          <w:trHeight w:val="450"/>
          <w:jc w:val="center"/>
        </w:trPr>
        <w:tc>
          <w:tcPr>
            <w:tcW w:w="9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工作经历</w:t>
            </w:r>
          </w:p>
        </w:tc>
      </w:tr>
      <w:tr w:rsidR="00FE7FCB" w:rsidRPr="00FE7FCB" w:rsidTr="00FE7FCB">
        <w:trPr>
          <w:trHeight w:val="45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起始年月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终止年月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工作单位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职务</w:t>
            </w: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375"/>
          <w:jc w:val="center"/>
        </w:trPr>
        <w:tc>
          <w:tcPr>
            <w:tcW w:w="960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教育经历</w:t>
            </w:r>
          </w:p>
        </w:tc>
      </w:tr>
      <w:tr w:rsidR="00FE7FCB" w:rsidRPr="00FE7FCB" w:rsidTr="00FE7FCB">
        <w:trPr>
          <w:trHeight w:val="45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起始年月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终止年月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学校名称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学历学位</w:t>
            </w: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960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黑体" w:eastAsia="黑体" w:hAnsi="黑体" w:cs="宋体" w:hint="eastAsia"/>
                <w:sz w:val="29"/>
                <w:szCs w:val="29"/>
              </w:rPr>
              <w:t>拟申报岗位（最多可填三个）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_GB2312" w:eastAsia="仿宋_GB2312" w:hAnsi="宋体" w:cs="宋体" w:hint="eastAsia"/>
                <w:sz w:val="29"/>
                <w:szCs w:val="29"/>
              </w:rPr>
              <w:t> </w:t>
            </w:r>
          </w:p>
        </w:tc>
      </w:tr>
      <w:tr w:rsidR="00FE7FCB" w:rsidRPr="00FE7FCB" w:rsidTr="00FE7FCB">
        <w:trPr>
          <w:trHeight w:val="510"/>
          <w:jc w:val="center"/>
        </w:trPr>
        <w:tc>
          <w:tcPr>
            <w:tcW w:w="960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7FCB" w:rsidRPr="00FE7FCB" w:rsidTr="00FE7FCB">
        <w:trPr>
          <w:trHeight w:val="232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sz w:val="29"/>
                <w:szCs w:val="29"/>
              </w:rPr>
              <w:t>备注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 w:line="240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_GB2312" w:eastAsia="仿宋_GB2312" w:hAnsi="宋体" w:cs="宋体" w:hint="eastAsia"/>
                <w:sz w:val="24"/>
                <w:szCs w:val="24"/>
              </w:rPr>
              <w:t>1.</w:t>
            </w:r>
            <w:r w:rsidRPr="00FE7FCB">
              <w:rPr>
                <w:rFonts w:ascii="宋体" w:eastAsia="宋体" w:hAnsi="宋体" w:cs="宋体" w:hint="eastAsia"/>
                <w:sz w:val="24"/>
                <w:szCs w:val="24"/>
              </w:rPr>
              <w:t>工作经历从参加工作开始填写，同一工作单位只填最高职务。</w:t>
            </w:r>
          </w:p>
          <w:p w:rsidR="00FE7FCB" w:rsidRPr="00FE7FCB" w:rsidRDefault="00FE7FCB" w:rsidP="00FE7FCB">
            <w:pPr>
              <w:adjustRightInd/>
              <w:snapToGrid/>
              <w:spacing w:after="0" w:line="240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_GB2312" w:eastAsia="仿宋_GB2312" w:hAnsi="宋体" w:cs="宋体" w:hint="eastAsia"/>
                <w:sz w:val="24"/>
                <w:szCs w:val="24"/>
              </w:rPr>
              <w:t>2.</w:t>
            </w:r>
            <w:r w:rsidRPr="00FE7FCB">
              <w:rPr>
                <w:rFonts w:ascii="宋体" w:eastAsia="宋体" w:hAnsi="宋体" w:cs="宋体" w:hint="eastAsia"/>
                <w:sz w:val="24"/>
                <w:szCs w:val="24"/>
              </w:rPr>
              <w:t>教育经历从大专开始填写。</w:t>
            </w:r>
          </w:p>
          <w:p w:rsidR="00FE7FCB" w:rsidRPr="00FE7FCB" w:rsidRDefault="00FE7FCB" w:rsidP="00FE7FCB">
            <w:pPr>
              <w:adjustRightInd/>
              <w:snapToGrid/>
              <w:spacing w:after="0" w:line="240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_GB2312" w:eastAsia="仿宋_GB2312" w:hAnsi="宋体" w:cs="宋体" w:hint="eastAsia"/>
                <w:sz w:val="24"/>
                <w:szCs w:val="24"/>
              </w:rPr>
              <w:t>3.</w:t>
            </w:r>
            <w:r w:rsidRPr="00FE7FCB">
              <w:rPr>
                <w:rFonts w:ascii="宋体" w:eastAsia="宋体" w:hAnsi="宋体" w:cs="宋体" w:hint="eastAsia"/>
                <w:sz w:val="24"/>
                <w:szCs w:val="24"/>
              </w:rPr>
              <w:t>医学学历、医学学位按最高级别填写。</w:t>
            </w:r>
          </w:p>
          <w:p w:rsidR="00FE7FCB" w:rsidRPr="00FE7FCB" w:rsidRDefault="00FE7FCB" w:rsidP="00FE7FCB">
            <w:pPr>
              <w:adjustRightInd/>
              <w:snapToGrid/>
              <w:spacing w:after="0" w:line="240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_GB2312" w:eastAsia="仿宋_GB2312" w:hAnsi="宋体" w:cs="宋体" w:hint="eastAsia"/>
                <w:sz w:val="24"/>
                <w:szCs w:val="24"/>
              </w:rPr>
              <w:t>4.</w:t>
            </w:r>
            <w:r w:rsidRPr="00FE7FCB">
              <w:rPr>
                <w:rFonts w:ascii="宋体" w:eastAsia="宋体" w:hAnsi="宋体" w:cs="宋体" w:hint="eastAsia"/>
                <w:sz w:val="24"/>
                <w:szCs w:val="24"/>
              </w:rPr>
              <w:t>需上传身份证、最高学历（学位）证书、医师资格证书、专业技术人员职业资格证书原件图片（含公章面）到报名邮箱。</w:t>
            </w:r>
          </w:p>
          <w:p w:rsidR="00FE7FCB" w:rsidRPr="00FE7FCB" w:rsidRDefault="00FE7FCB" w:rsidP="00FE7FCB">
            <w:pPr>
              <w:adjustRightInd/>
              <w:snapToGrid/>
              <w:spacing w:after="0" w:line="240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_GB2312" w:eastAsia="仿宋_GB2312" w:hAnsi="宋体" w:cs="宋体" w:hint="eastAsia"/>
                <w:sz w:val="24"/>
                <w:szCs w:val="24"/>
              </w:rPr>
              <w:t>5.</w:t>
            </w:r>
            <w:r w:rsidRPr="00FE7FCB">
              <w:rPr>
                <w:rFonts w:ascii="宋体" w:eastAsia="宋体" w:hAnsi="宋体" w:cs="宋体" w:hint="eastAsia"/>
                <w:sz w:val="24"/>
                <w:szCs w:val="24"/>
              </w:rPr>
              <w:t>医师资格证书编码、资格类别、发证时间按医师资格证书上内容如实填写。</w:t>
            </w:r>
          </w:p>
          <w:p w:rsidR="00FE7FCB" w:rsidRPr="00FE7FCB" w:rsidRDefault="00FE7FCB" w:rsidP="00FE7FCB">
            <w:pPr>
              <w:adjustRightInd/>
              <w:snapToGrid/>
              <w:spacing w:after="0" w:line="240" w:lineRule="atLeast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FE7FCB">
              <w:rPr>
                <w:rFonts w:ascii="仿宋_GB2312" w:eastAsia="仿宋_GB2312" w:hAnsi="宋体" w:cs="宋体" w:hint="eastAsia"/>
                <w:sz w:val="24"/>
                <w:szCs w:val="24"/>
              </w:rPr>
              <w:t>6.</w:t>
            </w:r>
            <w:r w:rsidRPr="00FE7FCB">
              <w:rPr>
                <w:rFonts w:ascii="宋体" w:eastAsia="宋体" w:hAnsi="宋体" w:cs="宋体" w:hint="eastAsia"/>
                <w:sz w:val="24"/>
                <w:szCs w:val="24"/>
              </w:rPr>
              <w:t>表内各项内容请认真填写，因内容不实或不完整造成的一切后果由填表人承担。</w:t>
            </w:r>
          </w:p>
        </w:tc>
      </w:tr>
      <w:tr w:rsidR="00FE7FCB" w:rsidRPr="00FE7FCB" w:rsidTr="00FE7FCB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微软雅黑" w:hAnsi="微软雅黑" w:cs="宋体" w:hint="eastAsia"/>
          <w:color w:val="5A5A5A"/>
          <w:spacing w:val="15"/>
          <w:sz w:val="21"/>
          <w:szCs w:val="21"/>
        </w:rPr>
        <w:t> 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黑体" w:eastAsia="黑体" w:hAnsi="黑体" w:cs="宋体" w:hint="eastAsia"/>
          <w:color w:val="5A5A5A"/>
          <w:spacing w:val="15"/>
          <w:sz w:val="32"/>
          <w:szCs w:val="32"/>
        </w:rPr>
        <w:t>附件4</w:t>
      </w:r>
    </w:p>
    <w:p w:rsidR="00FE7FCB" w:rsidRPr="00FE7FCB" w:rsidRDefault="00FE7FCB" w:rsidP="00FE7FCB">
      <w:pPr>
        <w:shd w:val="clear" w:color="auto" w:fill="FFFFFF"/>
        <w:adjustRightInd/>
        <w:snapToGrid/>
        <w:spacing w:after="0"/>
        <w:ind w:firstLine="300"/>
        <w:rPr>
          <w:rFonts w:ascii="微软雅黑" w:hAnsi="微软雅黑" w:cs="宋体" w:hint="eastAsia"/>
          <w:color w:val="5A5A5A"/>
          <w:spacing w:val="15"/>
          <w:sz w:val="18"/>
          <w:szCs w:val="18"/>
        </w:rPr>
      </w:pPr>
      <w:r w:rsidRPr="00FE7FCB">
        <w:rPr>
          <w:rFonts w:ascii="宋体" w:eastAsia="宋体" w:hAnsi="宋体" w:cs="宋体" w:hint="eastAsia"/>
          <w:color w:val="5A5A5A"/>
          <w:spacing w:val="15"/>
          <w:sz w:val="32"/>
          <w:szCs w:val="32"/>
          <w:shd w:val="clear" w:color="auto" w:fill="FFFFFF"/>
        </w:rPr>
        <w:t> </w:t>
      </w:r>
      <w:r w:rsidRPr="00FE7FCB">
        <w:rPr>
          <w:rFonts w:ascii="黑体" w:eastAsia="黑体" w:hAnsi="黑体" w:cs="黑体" w:hint="eastAsia"/>
          <w:color w:val="5A5A5A"/>
          <w:spacing w:val="15"/>
          <w:sz w:val="32"/>
          <w:szCs w:val="32"/>
          <w:shd w:val="clear" w:color="auto" w:fill="FFFFFF"/>
        </w:rPr>
        <w:t xml:space="preserve"> </w:t>
      </w:r>
      <w:r w:rsidRPr="00FE7FCB">
        <w:rPr>
          <w:rFonts w:ascii="宋体" w:eastAsia="宋体" w:hAnsi="宋体" w:cs="宋体" w:hint="eastAsia"/>
          <w:color w:val="5A5A5A"/>
          <w:spacing w:val="15"/>
          <w:sz w:val="32"/>
          <w:szCs w:val="32"/>
          <w:shd w:val="clear" w:color="auto" w:fill="FFFFFF"/>
        </w:rPr>
        <w:t> </w:t>
      </w:r>
      <w:r w:rsidRPr="00FE7FCB">
        <w:rPr>
          <w:rFonts w:ascii="黑体" w:eastAsia="黑体" w:hAnsi="黑体" w:cs="黑体" w:hint="eastAsia"/>
          <w:color w:val="5A5A5A"/>
          <w:spacing w:val="15"/>
          <w:sz w:val="32"/>
          <w:szCs w:val="32"/>
          <w:shd w:val="clear" w:color="auto" w:fill="FFFFFF"/>
        </w:rPr>
        <w:t xml:space="preserve"> </w:t>
      </w:r>
      <w:r w:rsidRPr="00FE7FCB">
        <w:rPr>
          <w:rFonts w:ascii="宋体" w:eastAsia="宋体" w:hAnsi="宋体" w:cs="宋体" w:hint="eastAsia"/>
          <w:color w:val="5A5A5A"/>
          <w:spacing w:val="15"/>
          <w:sz w:val="32"/>
          <w:szCs w:val="32"/>
          <w:shd w:val="clear" w:color="auto" w:fill="FFFFFF"/>
        </w:rPr>
        <w:t>  </w:t>
      </w:r>
      <w:r w:rsidRPr="00FE7FCB">
        <w:rPr>
          <w:rFonts w:ascii="方正小标宋简体" w:eastAsia="方正小标宋简体" w:hAnsi="微软雅黑" w:cs="宋体" w:hint="eastAsia"/>
          <w:color w:val="5A5A5A"/>
          <w:spacing w:val="15"/>
          <w:sz w:val="44"/>
          <w:szCs w:val="44"/>
          <w:shd w:val="clear" w:color="auto" w:fill="FFFFFF"/>
        </w:rPr>
        <w:t>申报者单位意见书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0"/>
      </w:tblGrid>
      <w:tr w:rsidR="00FE7FCB" w:rsidRPr="00FE7FCB" w:rsidTr="00FE7FCB">
        <w:trPr>
          <w:trHeight w:val="1026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lastRenderedPageBreak/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_GB2312" w:eastAsia="仿宋_GB2312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0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color w:val="5A5A5A"/>
                <w:spacing w:val="15"/>
                <w:sz w:val="32"/>
                <w:szCs w:val="32"/>
              </w:rPr>
              <w:t>（说明申请人在本单位任职期间有无发生重大医疗事故、有无存在医德医风方面的问题）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645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微软雅黑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645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微软雅黑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15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color w:val="5A5A5A"/>
                <w:spacing w:val="15"/>
                <w:sz w:val="32"/>
                <w:szCs w:val="32"/>
              </w:rPr>
              <w:t>经办人（签名）：</w:t>
            </w:r>
            <w:r w:rsidRPr="00FE7FCB">
              <w:rPr>
                <w:rFonts w:ascii="宋体" w:eastAsia="宋体" w:hAnsi="宋体" w:cs="宋体" w:hint="eastAsia"/>
                <w:color w:val="5A5A5A"/>
                <w:spacing w:val="15"/>
                <w:sz w:val="32"/>
                <w:szCs w:val="32"/>
              </w:rPr>
              <w:t>              </w:t>
            </w:r>
            <w:r w:rsidRPr="00FE7FCB">
              <w:rPr>
                <w:rFonts w:ascii="仿宋" w:eastAsia="仿宋" w:hAnsi="仿宋" w:cs="仿宋" w:hint="eastAsia"/>
                <w:color w:val="5A5A5A"/>
                <w:spacing w:val="15"/>
                <w:sz w:val="32"/>
                <w:szCs w:val="32"/>
              </w:rPr>
              <w:t xml:space="preserve"> </w:t>
            </w:r>
            <w:r w:rsidRPr="00FE7FCB">
              <w:rPr>
                <w:rFonts w:ascii="仿宋" w:eastAsia="仿宋" w:hAnsi="仿宋" w:cs="宋体" w:hint="eastAsia"/>
                <w:color w:val="5A5A5A"/>
                <w:spacing w:val="15"/>
                <w:sz w:val="32"/>
                <w:szCs w:val="32"/>
              </w:rPr>
              <w:t>单位名称：（盖章）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840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宋体" w:eastAsia="宋体" w:hAnsi="宋体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4965"/>
              <w:rPr>
                <w:rFonts w:ascii="微软雅黑" w:hAnsi="微软雅黑" w:cs="宋体" w:hint="eastAsia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仿宋" w:eastAsia="仿宋" w:hAnsi="仿宋" w:cs="宋体" w:hint="eastAsia"/>
                <w:color w:val="5A5A5A"/>
                <w:spacing w:val="15"/>
                <w:sz w:val="32"/>
                <w:szCs w:val="32"/>
              </w:rPr>
              <w:t>年</w:t>
            </w:r>
            <w:r w:rsidRPr="00FE7FCB">
              <w:rPr>
                <w:rFonts w:ascii="宋体" w:eastAsia="宋体" w:hAnsi="宋体" w:cs="宋体" w:hint="eastAsia"/>
                <w:color w:val="5A5A5A"/>
                <w:spacing w:val="15"/>
                <w:sz w:val="32"/>
                <w:szCs w:val="32"/>
              </w:rPr>
              <w:t>   </w:t>
            </w:r>
            <w:r w:rsidRPr="00FE7FCB">
              <w:rPr>
                <w:rFonts w:ascii="仿宋" w:eastAsia="仿宋" w:hAnsi="仿宋" w:cs="仿宋" w:hint="eastAsia"/>
                <w:color w:val="5A5A5A"/>
                <w:spacing w:val="15"/>
                <w:sz w:val="32"/>
                <w:szCs w:val="32"/>
              </w:rPr>
              <w:t xml:space="preserve"> </w:t>
            </w:r>
            <w:r w:rsidRPr="00FE7FCB">
              <w:rPr>
                <w:rFonts w:ascii="仿宋" w:eastAsia="仿宋" w:hAnsi="仿宋" w:cs="宋体" w:hint="eastAsia"/>
                <w:color w:val="5A5A5A"/>
                <w:spacing w:val="15"/>
                <w:sz w:val="32"/>
                <w:szCs w:val="32"/>
              </w:rPr>
              <w:t>月</w:t>
            </w:r>
            <w:r w:rsidRPr="00FE7FCB">
              <w:rPr>
                <w:rFonts w:ascii="宋体" w:eastAsia="宋体" w:hAnsi="宋体" w:cs="宋体" w:hint="eastAsia"/>
                <w:color w:val="5A5A5A"/>
                <w:spacing w:val="15"/>
                <w:sz w:val="32"/>
                <w:szCs w:val="32"/>
              </w:rPr>
              <w:t>    </w:t>
            </w:r>
            <w:r w:rsidRPr="00FE7FCB">
              <w:rPr>
                <w:rFonts w:ascii="仿宋" w:eastAsia="仿宋" w:hAnsi="仿宋" w:cs="仿宋" w:hint="eastAsia"/>
                <w:color w:val="5A5A5A"/>
                <w:spacing w:val="15"/>
                <w:sz w:val="32"/>
                <w:szCs w:val="32"/>
              </w:rPr>
              <w:t xml:space="preserve"> </w:t>
            </w:r>
            <w:r w:rsidRPr="00FE7FCB">
              <w:rPr>
                <w:rFonts w:ascii="仿宋" w:eastAsia="仿宋" w:hAnsi="仿宋" w:cs="宋体" w:hint="eastAsia"/>
                <w:color w:val="5A5A5A"/>
                <w:spacing w:val="15"/>
                <w:sz w:val="32"/>
                <w:szCs w:val="32"/>
              </w:rPr>
              <w:t>日</w:t>
            </w:r>
          </w:p>
          <w:p w:rsidR="00FE7FCB" w:rsidRPr="00FE7FCB" w:rsidRDefault="00FE7FCB" w:rsidP="00FE7FCB">
            <w:pPr>
              <w:adjustRightInd/>
              <w:snapToGrid/>
              <w:spacing w:after="0"/>
              <w:ind w:firstLine="315"/>
              <w:rPr>
                <w:rFonts w:ascii="微软雅黑" w:hAnsi="微软雅黑" w:cs="宋体"/>
                <w:color w:val="5A5A5A"/>
                <w:spacing w:val="15"/>
                <w:sz w:val="21"/>
                <w:szCs w:val="21"/>
              </w:rPr>
            </w:pPr>
            <w:r w:rsidRPr="00FE7FCB">
              <w:rPr>
                <w:rFonts w:ascii="微软雅黑" w:hAnsi="微软雅黑" w:cs="宋体" w:hint="eastAsia"/>
                <w:color w:val="5A5A5A"/>
                <w:spacing w:val="15"/>
                <w:sz w:val="32"/>
                <w:szCs w:val="32"/>
              </w:rPr>
              <w:t> </w:t>
            </w:r>
          </w:p>
        </w:tc>
      </w:tr>
    </w:tbl>
    <w:p w:rsidR="00FE7FCB" w:rsidRPr="00FE7FCB" w:rsidRDefault="00FE7FCB" w:rsidP="00FE7FCB">
      <w:pPr>
        <w:shd w:val="clear" w:color="auto" w:fill="FFFFFF"/>
        <w:adjustRightInd/>
        <w:snapToGrid/>
        <w:spacing w:after="0" w:line="555" w:lineRule="atLeast"/>
        <w:ind w:firstLine="195"/>
        <w:rPr>
          <w:rFonts w:ascii="微软雅黑" w:hAnsi="微软雅黑" w:cs="宋体" w:hint="eastAsia"/>
          <w:color w:val="5A5A5A"/>
          <w:spacing w:val="15"/>
          <w:sz w:val="21"/>
          <w:szCs w:val="21"/>
        </w:rPr>
      </w:pPr>
      <w:r w:rsidRPr="00FE7FCB">
        <w:rPr>
          <w:rFonts w:ascii="微软雅黑" w:hAnsi="微软雅黑" w:cs="宋体" w:hint="eastAsia"/>
          <w:color w:val="5A5A5A"/>
          <w:spacing w:val="15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E7FCB"/>
    <w:rsid w:val="00323B43"/>
    <w:rsid w:val="003D37D8"/>
    <w:rsid w:val="004358AB"/>
    <w:rsid w:val="0064020C"/>
    <w:rsid w:val="008811B0"/>
    <w:rsid w:val="008B7726"/>
    <w:rsid w:val="00C34BF7"/>
    <w:rsid w:val="00CF7209"/>
    <w:rsid w:val="00FD266C"/>
    <w:rsid w:val="00FE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E7F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E7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5%B5%8A%E6%B3%97" TargetMode="External"/><Relationship Id="rId4" Type="http://schemas.openxmlformats.org/officeDocument/2006/relationships/hyperlink" Target="https://baike.baidu.com/item/%E9%95%BF%E7%99%BD%E5%B2%9B/1093489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2020-08-07T00:32:00Z</dcterms:created>
  <dcterms:modified xsi:type="dcterms:W3CDTF">2020-08-07T00:36:00Z</dcterms:modified>
</cp:coreProperties>
</file>