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2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040"/>
        <w:gridCol w:w="1740"/>
        <w:gridCol w:w="1455"/>
        <w:gridCol w:w="1020"/>
        <w:gridCol w:w="1020"/>
        <w:gridCol w:w="22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岗位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专业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人数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生源地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软科学研究岗位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工商管理类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硕士研究生及以上（博士优先）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京外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应届生源，择优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解决北京户口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软科学研究岗位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应用经济学类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硕士研究生及以上（博士优先）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京外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应届生源，择优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解决北京户口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软科学研究岗位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环境类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硕士研究生及以上（博士优先）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京外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应届生源，择优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解决北京户口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项目管理岗位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计算机科学与技术类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京内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应届生源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快递物流行业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战略及规划研究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岗位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管理类、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经济类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硕士研究生及以上（博士后出站人员优先）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2-3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2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color w:val="5E5E5E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22"/>
                <w:szCs w:val="22"/>
                <w:u w:val="none"/>
                <w:bdr w:val="none" w:color="auto" w:sz="0" w:space="0"/>
              </w:rPr>
              <w:t>浙江省国邮快递物流科学研究院负责人及高级研究员、研究助理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409D6"/>
    <w:rsid w:val="73073728"/>
    <w:rsid w:val="768409D6"/>
    <w:rsid w:val="7C9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2020-08-27T01:56:00Z</dcterms:created>
  <dc:creator>Administrator</dc:creator>
  <cp:lastModifiedBy>Administrator</cp:lastModifiedBy>
  <dcterms:modified xsi:type="dcterms:W3CDTF">2020-08-27T02:03:52Z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