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 w:bidi="ar"/>
        </w:rPr>
        <w:t>成都市郫都区医疗卫生事业单位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 w:bidi="ar"/>
        </w:rPr>
        <w:t>急需紧缺专业目录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200"/>
        <w:jc w:val="left"/>
      </w:pPr>
      <w:r>
        <w:rPr>
          <w:rFonts w:ascii="方正仿宋简体" w:hAnsi="Times New Roman" w:eastAsia="方正仿宋简体" w:cs="Times New Roman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1.放射医学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2.麻醉学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3.医学影像学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4.临床医学专业（仅限超声诊断方向）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5预防医学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6.口腔医学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7.儿科学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8.卫生检验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9.精神医学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10.妇产科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11.重症医学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shd w:val="clear" w:fill="FFFFFF"/>
          <w:lang w:val="en-US" w:eastAsia="zh-CN" w:bidi="ar"/>
        </w:rPr>
        <w:t>12.急诊医学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Times New Roman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Times New Roman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Times New Roman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Times New Roman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Times New Roman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Times New Roman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Times New Roman"/>
          <w:kern w:val="2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b/>
          <w:kern w:val="2"/>
          <w:sz w:val="36"/>
          <w:szCs w:val="36"/>
          <w:shd w:val="clear" w:fill="FFFFFF"/>
          <w:lang w:val="en-US" w:eastAsia="zh-CN" w:bidi="ar"/>
        </w:rPr>
        <w:t>成都市郫都区卫健系统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简体" w:hAnsi="宋体" w:eastAsia="方正小标宋简体" w:cs="Times New Roman"/>
          <w:b/>
          <w:kern w:val="2"/>
          <w:sz w:val="36"/>
          <w:szCs w:val="36"/>
          <w:shd w:val="clear" w:fill="FFFFFF"/>
          <w:lang w:val="en-US" w:eastAsia="zh-CN" w:bidi="ar"/>
        </w:rPr>
        <w:t>2020年下半年公开选聘高校卫生人才报名表</w:t>
      </w:r>
    </w:p>
    <w:tbl>
      <w:tblPr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04"/>
        <w:gridCol w:w="908"/>
        <w:gridCol w:w="519"/>
        <w:gridCol w:w="741"/>
        <w:gridCol w:w="688"/>
        <w:gridCol w:w="572"/>
        <w:gridCol w:w="54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毕业时间、院校、专业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现有职称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是否规培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规培专业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规培单位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是否正式事业在编人员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意向单位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是否服从调配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单位审核意见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eastAsia" w:ascii="仿宋" w:hAnsi="仿宋" w:eastAsia="仿宋" w:cs="Times New Roman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1881"/>
    <w:rsid w:val="0B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5">
    <w:name w:val="Hyperlink"/>
    <w:basedOn w:val="3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customStyle="1" w:styleId="6">
    <w:name w:val="hidebtn"/>
    <w:basedOn w:val="3"/>
    <w:uiPriority w:val="0"/>
  </w:style>
  <w:style w:type="character" w:customStyle="1" w:styleId="7">
    <w:name w:val="showbtn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2020-09-04T06:53:00Z</dcterms:created>
  <dc:creator>那时花开咖啡馆。</dc:creator>
  <cp:lastModifiedBy>那时花开咖啡馆。</cp:lastModifiedBy>
  <dcterms:modified xsi:type="dcterms:W3CDTF">2020-09-04T10:53:25Z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